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A4161" w14:textId="317D436D" w:rsidR="00CB6EDC" w:rsidRDefault="00CB6EDC" w:rsidP="00CB6EDC">
      <w:pPr>
        <w:rPr>
          <w:rFonts w:ascii="Calibri" w:hAnsi="Calibri"/>
        </w:rPr>
      </w:pPr>
      <w:r w:rsidRPr="00CB6EDC">
        <w:rPr>
          <w:rFonts w:ascii="Calibri" w:hAnsi="Calibri"/>
        </w:rPr>
        <w:t>8.2.14.2. Descrizione generale della misura, compresi la sua logica d'intervento e il contributo agli aspetti</w:t>
      </w:r>
      <w:r>
        <w:rPr>
          <w:rFonts w:ascii="Calibri" w:hAnsi="Calibri"/>
        </w:rPr>
        <w:t xml:space="preserve"> </w:t>
      </w:r>
      <w:r w:rsidRPr="00CB6EDC">
        <w:rPr>
          <w:rFonts w:ascii="Calibri" w:hAnsi="Calibri"/>
        </w:rPr>
        <w:t>specifici e agli obiettivi trasversali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CB6EDC" w:rsidRPr="00CB6EDC" w14:paraId="162087E2" w14:textId="77777777" w:rsidTr="00CB6EDC">
        <w:tc>
          <w:tcPr>
            <w:tcW w:w="10138" w:type="dxa"/>
          </w:tcPr>
          <w:p w14:paraId="02F93239" w14:textId="77777777" w:rsidR="00CB6EDC" w:rsidRPr="00CB6EDC" w:rsidRDefault="00CB6EDC" w:rsidP="00DC1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D0E1E7" w14:textId="31A7B849" w:rsidR="00CB6EDC" w:rsidRPr="00CB6EDC" w:rsidRDefault="00CB6EDC" w:rsidP="00DC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DC">
              <w:rPr>
                <w:rFonts w:ascii="Times New Roman" w:hAnsi="Times New Roman" w:cs="Times New Roman"/>
                <w:sz w:val="24"/>
                <w:szCs w:val="24"/>
              </w:rPr>
              <w:t>[…]</w:t>
            </w:r>
          </w:p>
          <w:p w14:paraId="277A5947" w14:textId="73131D3B" w:rsidR="00CB6EDC" w:rsidRPr="00CB6EDC" w:rsidRDefault="00CB6EDC" w:rsidP="00DC16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5625C" w14:textId="0C0C3B04" w:rsidR="00CB6EDC" w:rsidRPr="00CB6EDC" w:rsidRDefault="00CB6EDC" w:rsidP="00DC16C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6E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Si propone di avviare già nel periodo conclusivo della programmazione 2014-2022 la selezione delle SSL per il periodo 2023-2027, mediante il sostegno preparatorio fornito dall’operazione 19.1.01 per il finanziamento delle attività correlate alla costituzione del partenariato e alla definizione delle SSL.</w:t>
            </w:r>
          </w:p>
          <w:p w14:paraId="411E32E4" w14:textId="77777777" w:rsidR="00CB6EDC" w:rsidRPr="00CB6EDC" w:rsidRDefault="00CB6EDC" w:rsidP="00DC16C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6E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 partenariati dovranno quindi presentare, sulla base delle condizioni previste per il riconoscimento del contributo nell’ambito dell’operazione 19.1.01, la strategia per il periodo 2023-2027, che sarà valutata con i criteri di selezione inseriti in coerenza con la scheda di riferimento per la programmazione 2023-2027.</w:t>
            </w:r>
          </w:p>
          <w:p w14:paraId="3DAC4D5C" w14:textId="3C431C99" w:rsidR="00CB6EDC" w:rsidRPr="00CB6EDC" w:rsidRDefault="00CB6EDC" w:rsidP="00DC1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E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L’avvio del processo di selezione delle SSL per il prossimo periodo di programmazione avviene per ridurre i tempi di approvazione delle SSL con l’obiettivo di rispettare i tempi di attivazione dei GAL, come indicati nel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</w:t>
            </w:r>
            <w:r w:rsidRPr="00CB6ED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egolamento (UE) 2021/2115.</w:t>
            </w:r>
          </w:p>
        </w:tc>
      </w:tr>
    </w:tbl>
    <w:p w14:paraId="6BE42B81" w14:textId="77777777" w:rsidR="00DC16C8" w:rsidRPr="00CB6EDC" w:rsidRDefault="00DC16C8" w:rsidP="00DC16C8">
      <w:pPr>
        <w:rPr>
          <w:rFonts w:ascii="TimesNewRomanPSMT" w:hAnsi="TimesNewRomanPSMT" w:cs="TimesNewRomanPSMT"/>
          <w:sz w:val="24"/>
          <w:szCs w:val="24"/>
        </w:rPr>
      </w:pPr>
    </w:p>
    <w:p w14:paraId="0FAC5924" w14:textId="25E02C75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8.2.14.3.1. Operazione 19.1.01-Sostegno per la preparazione dei Piani di Sviluppo Locale (PSL)</w:t>
      </w:r>
    </w:p>
    <w:p w14:paraId="313E1732" w14:textId="77777777" w:rsidR="00DC16C8" w:rsidRDefault="00DC16C8" w:rsidP="00804FA7">
      <w:pPr>
        <w:rPr>
          <w:rFonts w:ascii="TimesNewRomanPSMT" w:hAnsi="TimesNewRomanPSMT" w:cs="TimesNewRomanPSMT"/>
          <w:sz w:val="24"/>
          <w:szCs w:val="24"/>
        </w:rPr>
      </w:pPr>
    </w:p>
    <w:p w14:paraId="61E47293" w14:textId="1AFE84EC" w:rsidR="00E74BDB" w:rsidRDefault="00804FA7" w:rsidP="00804FA7">
      <w:pP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Sottomisura:</w:t>
      </w:r>
    </w:p>
    <w:p w14:paraId="140C57F7" w14:textId="77777777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19.1 - Sostegno preparatorio</w:t>
      </w:r>
    </w:p>
    <w:p w14:paraId="38974D43" w14:textId="77777777" w:rsidR="00804FA7" w:rsidRDefault="00804FA7" w:rsidP="00804FA7">
      <w:pPr>
        <w:rPr>
          <w:rFonts w:ascii="ArialMT" w:hAnsi="ArialMT" w:cs="ArialMT"/>
        </w:rPr>
      </w:pPr>
      <w:r>
        <w:rPr>
          <w:rFonts w:ascii="ArialMT" w:hAnsi="ArialMT" w:cs="ArialMT"/>
        </w:rPr>
        <w:t>8.2.14.3.1.1. Descrizione del tipo di intervento</w:t>
      </w:r>
    </w:p>
    <w:p w14:paraId="1F7BD577" w14:textId="77777777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L’operazione risponde al seguente fabbisogno identificato nel Programma:</w:t>
      </w:r>
    </w:p>
    <w:p w14:paraId="6CB8ECB3" w14:textId="77777777" w:rsidR="00B00C19" w:rsidRDefault="00B00C1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D5D9142" w14:textId="77777777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F23: Promozione dei processi di aggregazione locale e potenziamento delle competenze e responsabilità dei soggetti locali.</w:t>
      </w:r>
    </w:p>
    <w:p w14:paraId="599A38C3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C807BFE" w14:textId="77777777" w:rsidR="00B00C19" w:rsidRDefault="00804FA7" w:rsidP="00DC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L’operazione contribuisce al raggiungimento dell’obiettivo generale di cui al Reg. UE n. 1305/2013,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articolo 4, lettera c) realizzare uno sviluppo territoriale equilibrato delle economie e comunità rurali,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compresi la creazione e il mantenimento di posti di lavoro e al seguente obiettivo specifico del Programma:</w:t>
      </w:r>
    </w:p>
    <w:p w14:paraId="38216902" w14:textId="77777777" w:rsidR="00B00C19" w:rsidRDefault="00B00C1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4C6523B" w14:textId="105248C3" w:rsidR="00804FA7" w:rsidRPr="00E64995" w:rsidRDefault="00804FA7" w:rsidP="00E64995">
      <w:pPr>
        <w:pStyle w:val="Paragrafoelenco"/>
        <w:numPr>
          <w:ilvl w:val="0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hanging="720"/>
        <w:rPr>
          <w:rFonts w:ascii="TimesNewRomanPSMT" w:hAnsi="TimesNewRomanPSMT" w:cs="TimesNewRomanPSMT"/>
          <w:sz w:val="24"/>
          <w:szCs w:val="24"/>
        </w:rPr>
      </w:pPr>
      <w:r w:rsidRPr="00E64995">
        <w:rPr>
          <w:rFonts w:ascii="TimesNewRomanPSMT" w:hAnsi="TimesNewRomanPSMT" w:cs="TimesNewRomanPSMT"/>
          <w:sz w:val="24"/>
          <w:szCs w:val="24"/>
        </w:rPr>
        <w:t>Favorire le condizioni di crescita e sviluppo nelle aree rurali della regione</w:t>
      </w:r>
    </w:p>
    <w:p w14:paraId="774D9FD6" w14:textId="77777777" w:rsidR="00B00C19" w:rsidRDefault="00B00C1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7F9BF10" w14:textId="77777777" w:rsidR="00804FA7" w:rsidRDefault="00804FA7" w:rsidP="00DC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L’operazione contribuisce direttamente alla focus area 6 (b) stimolare lo sviluppo locale nelle zone rurali.</w:t>
      </w:r>
    </w:p>
    <w:p w14:paraId="2FBE2008" w14:textId="77777777" w:rsidR="00F60963" w:rsidRDefault="00F60963" w:rsidP="00DC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4323BF6D" w14:textId="2954A802" w:rsidR="00804FA7" w:rsidRDefault="00804FA7" w:rsidP="00DC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La fase di progettazione, di costruzione del partenariato e di definizione dei territori è essenziale per</w:t>
      </w:r>
    </w:p>
    <w:p w14:paraId="4D7380C1" w14:textId="2BDF9B70" w:rsidR="00804FA7" w:rsidRDefault="00804FA7" w:rsidP="00DC1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garantire una strategia adeguata e solida e assicurare il coinvolgimento delle comunità rurali.</w:t>
      </w:r>
    </w:p>
    <w:p w14:paraId="3C5AEAEF" w14:textId="77777777" w:rsidR="00F60963" w:rsidRDefault="00F6096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31F42E1" w14:textId="1F30BEE9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Il sostegno ha lo scopo di assistere i partenariati alla preparazione di strategie di sviluppo locale. Consiste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nel rafforzamento delle capacità di programmazione, nel favorire la formazione e la</w:t>
      </w:r>
      <w:r w:rsidR="00753D7F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creazion</w:t>
      </w:r>
      <w:r w:rsidR="00753D7F">
        <w:rPr>
          <w:rFonts w:ascii="TimesNewRomanPSMT" w:hAnsi="TimesNewRomanPSMT" w:cs="TimesNewRomanPSMT"/>
          <w:sz w:val="24"/>
          <w:szCs w:val="24"/>
        </w:rPr>
        <w:t>e</w:t>
      </w:r>
      <w:r>
        <w:rPr>
          <w:rFonts w:ascii="TimesNewRomanPSMT" w:hAnsi="TimesNewRomanPSMT" w:cs="TimesNewRomanPSMT"/>
          <w:sz w:val="24"/>
          <w:szCs w:val="24"/>
        </w:rPr>
        <w:t xml:space="preserve"> di reti.</w:t>
      </w:r>
    </w:p>
    <w:p w14:paraId="52D6C671" w14:textId="77777777" w:rsidR="00F60963" w:rsidRDefault="00F6096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155989D" w14:textId="77777777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L’operazione prevede il sostegno delle attività strettamente correlate alla costituzione del partenariato e alla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definizione della strategia di sviluppo locale.</w:t>
      </w:r>
    </w:p>
    <w:p w14:paraId="34F340D7" w14:textId="77777777" w:rsidR="00F60963" w:rsidRDefault="00F6096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1B9F96F" w14:textId="60B7C789" w:rsidR="00F60963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La tabella relativa al contributo alle focus area e agli obiettivi trasversali è riportata anche nell’allegato S al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Programma.</w:t>
      </w:r>
    </w:p>
    <w:p w14:paraId="70A690FC" w14:textId="77777777" w:rsidR="00F60963" w:rsidRDefault="00F6096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02630BC" w14:textId="3E0315D5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04FA7">
        <w:rPr>
          <w:rFonts w:ascii="TimesNewRomanPSMT" w:hAnsi="TimesNewRomanPSMT" w:cs="TimesNewRomanPSMT"/>
          <w:noProof/>
          <w:sz w:val="24"/>
          <w:szCs w:val="24"/>
          <w:lang w:val="en-US"/>
        </w:rPr>
        <w:lastRenderedPageBreak/>
        <w:drawing>
          <wp:inline distT="0" distB="0" distL="0" distR="0" wp14:anchorId="4A20185F" wp14:editId="6DCCE7C3">
            <wp:extent cx="6474772" cy="2587558"/>
            <wp:effectExtent l="0" t="0" r="254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314" cy="2663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856BD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8.2.14.3.1.2. Tipo di sostegno</w:t>
      </w:r>
    </w:p>
    <w:p w14:paraId="6C5FD78B" w14:textId="77777777" w:rsidR="00F60963" w:rsidRDefault="00F60963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A948494" w14:textId="495210EB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Tipo di sostegno: Sovvenzioni</w:t>
      </w:r>
    </w:p>
    <w:p w14:paraId="1EAEE38E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8355C6D" w14:textId="77777777" w:rsidR="000A6F20" w:rsidRPr="000A6F20" w:rsidRDefault="00804FA7" w:rsidP="000A6F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F628C1">
        <w:rPr>
          <w:rFonts w:ascii="TimesNewRomanPSMT" w:hAnsi="TimesNewRomanPSMT" w:cs="TimesNewRomanPSMT"/>
          <w:sz w:val="24"/>
          <w:szCs w:val="24"/>
        </w:rPr>
        <w:t>L’aiuto è concesso come contributo in conto capitale.</w:t>
      </w:r>
    </w:p>
    <w:p w14:paraId="51F386D8" w14:textId="77777777" w:rsidR="000A6F20" w:rsidRDefault="000A6F20" w:rsidP="000A6F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653C1AC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639AC8B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D9D07CC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8.2.14.3.1.3. Collegamenti con altre normative</w:t>
      </w:r>
    </w:p>
    <w:p w14:paraId="5C40D288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5FC7D1CE" w14:textId="0008D4C3" w:rsidR="00804FA7" w:rsidRDefault="00804FA7" w:rsidP="00DC16C8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F60963">
        <w:rPr>
          <w:rFonts w:ascii="TimesNewRomanPSMT" w:hAnsi="TimesNewRomanPSMT" w:cs="TimesNewRomanPSMT"/>
          <w:sz w:val="24"/>
          <w:szCs w:val="24"/>
        </w:rPr>
        <w:t>Regolamento (UE) n. 1303/2013 del Parlamento Europeo e del Consiglio, del 17 dicembre 2013,</w:t>
      </w:r>
      <w:r w:rsidR="00FD27D4">
        <w:rPr>
          <w:rFonts w:ascii="TimesNewRomanPSMT" w:hAnsi="TimesNewRomanPSMT" w:cs="TimesNewRomanPSMT"/>
          <w:sz w:val="24"/>
          <w:szCs w:val="24"/>
        </w:rPr>
        <w:t xml:space="preserve"> </w:t>
      </w:r>
      <w:r w:rsidRPr="00FD27D4">
        <w:rPr>
          <w:rFonts w:ascii="TimesNewRomanPSMT" w:hAnsi="TimesNewRomanPSMT" w:cs="TimesNewRomanPSMT"/>
          <w:sz w:val="24"/>
          <w:szCs w:val="24"/>
        </w:rPr>
        <w:t>recante disposizioni comuni sul Fondo europeo di sviluppo regionale, sul Fondo sociale europeo, sul Fondo di coesione, sul Fondo europeo agricolo per lo sviluppo rurale e sul Fondo europeo per gli affari marittimi e la pesca e disposizioni generali sul Fondo europeo di sviluppo regionale, sul Fondo sociale europeo, sul Fondo di coesione e sul Fondo europeo per gli affari marittimi e la pesca, e che abroga il Regolamento (CE) n. 1083/2006 del Consiglio, articoli 65 - 71.</w:t>
      </w:r>
    </w:p>
    <w:p w14:paraId="6DD6FF73" w14:textId="012ACB26" w:rsidR="00CB6EDC" w:rsidRPr="00CB6EDC" w:rsidRDefault="00CB6EDC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CB6EDC">
        <w:rPr>
          <w:rFonts w:ascii="TimesNewRomanPSMT" w:hAnsi="TimesNewRomanPSMT" w:cs="TimesNewRomanPSMT"/>
          <w:color w:val="FF0000"/>
          <w:sz w:val="24"/>
          <w:szCs w:val="24"/>
        </w:rPr>
        <w:t>Regolamento (UE) 2020/2220 del Parlamento Europeo e del Consiglio del 23 dicembre 2020 che stabilisce alcune disposizioni transitorie relative al sostegno da parte del Fondo europeo agricolo per lo sviluppo rurale (FEASR) e del Fondo europeo agricolo di garanzia (FEAGA) negli anni 2021 e 2022 e che modifica i regolamenti (UE) n. 1305/2013, (UE) n. 1306/2013 e (UE) n. 1307/2013 per quanto riguarda le risorse e l’applicazione negli anni 2021 e 2022 e il regolamento (UE) n. 1308/2013 per quanto riguarda le risorse e la distribuzione di tale sostegno in relazione agli anni 2021 e 2022</w:t>
      </w:r>
    </w:p>
    <w:p w14:paraId="61C0282D" w14:textId="74EFEE5C" w:rsidR="00CB6EDC" w:rsidRDefault="00CB6EDC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CB6EDC">
        <w:rPr>
          <w:rFonts w:ascii="TimesNewRomanPSMT" w:hAnsi="TimesNewRomanPSMT" w:cs="TimesNewRomanPSMT"/>
          <w:color w:val="FF0000"/>
          <w:sz w:val="24"/>
          <w:szCs w:val="24"/>
        </w:rPr>
        <w:t>Regolamento (UE) 2021/2115 del Parlamento europeo e del Consiglio del 2 dicembre 2021 recante norme sul sostegno ai piani strategici che gli Stati membri devono redigere nell’ambito della politica agricola comune (piani strategici della PAC) e finanziati dal Fondo europeo agricolo di garanzia (FEAGA) e dal Fondo europeo agricolo per lo sviluppo rurale (FEASR) e che abroga i regolamenti (UE) n. 1305/2013 e (UE) n. 1307/2013</w:t>
      </w:r>
    </w:p>
    <w:p w14:paraId="1F40D2C1" w14:textId="53DDC6B5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4E20371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8.2.14.3.1.4. Beneficiari</w:t>
      </w:r>
    </w:p>
    <w:p w14:paraId="3DAACAE9" w14:textId="3FCB0AAE" w:rsidR="00804FA7" w:rsidRPr="007C7156" w:rsidRDefault="00977A39" w:rsidP="007C7156">
      <w:pPr>
        <w:pStyle w:val="Paragrafoelenco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-</w:t>
      </w:r>
    </w:p>
    <w:p w14:paraId="4C90D52C" w14:textId="1CB9D07F" w:rsidR="00DC16C8" w:rsidRPr="00977A39" w:rsidRDefault="00804FA7" w:rsidP="00DC16C8">
      <w:pPr>
        <w:pStyle w:val="Paragrafoelenco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DC16C8">
        <w:rPr>
          <w:rFonts w:ascii="TimesNewRomanPSMT" w:hAnsi="TimesNewRomanPSMT" w:cs="TimesNewRomanPSMT"/>
          <w:sz w:val="24"/>
          <w:szCs w:val="24"/>
        </w:rPr>
        <w:t>Partenariati pubblico/privati che presentano una strategia di sviluppo locale</w:t>
      </w:r>
      <w:r w:rsidR="00DC16C8" w:rsidRPr="00DC16C8">
        <w:rPr>
          <w:rFonts w:ascii="TimesNewRomanPSMT" w:hAnsi="TimesNewRomanPSMT" w:cs="TimesNewRomanPSMT"/>
          <w:sz w:val="24"/>
          <w:szCs w:val="24"/>
        </w:rPr>
        <w:t xml:space="preserve"> </w:t>
      </w:r>
      <w:r w:rsidR="00DC16C8">
        <w:rPr>
          <w:rFonts w:ascii="TimesNewRomanPSMT" w:hAnsi="TimesNewRomanPSMT" w:cs="TimesNewRomanPSMT"/>
          <w:color w:val="FF0000"/>
          <w:sz w:val="24"/>
          <w:szCs w:val="24"/>
        </w:rPr>
        <w:t xml:space="preserve">per il </w:t>
      </w:r>
      <w:r w:rsidR="00DC16C8" w:rsidRPr="00F628C1">
        <w:rPr>
          <w:rFonts w:ascii="Times New Roman" w:hAnsi="Times New Roman" w:cs="Times New Roman"/>
          <w:color w:val="FF0000"/>
          <w:sz w:val="24"/>
          <w:szCs w:val="24"/>
        </w:rPr>
        <w:t>periodo di programmazione 2014-2022;</w:t>
      </w:r>
    </w:p>
    <w:p w14:paraId="1F804D1D" w14:textId="77777777" w:rsidR="00977A39" w:rsidRPr="00977A39" w:rsidRDefault="00977A39" w:rsidP="00977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</w:p>
    <w:p w14:paraId="184C5A0B" w14:textId="51D4C346" w:rsidR="00977A39" w:rsidRPr="00977A39" w:rsidRDefault="00DC16C8" w:rsidP="00977A39">
      <w:pPr>
        <w:pStyle w:val="Paragrafoelenco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DC16C8">
        <w:rPr>
          <w:rFonts w:ascii="TimesNewRomanPSMT" w:hAnsi="TimesNewRomanPSMT" w:cs="TimesNewRomanPSMT"/>
          <w:color w:val="FF0000"/>
          <w:sz w:val="24"/>
          <w:szCs w:val="24"/>
        </w:rPr>
        <w:t xml:space="preserve">Partenariati pubblico/privati che presentano una strategia di sviluppo locale </w:t>
      </w:r>
      <w:r>
        <w:rPr>
          <w:rFonts w:ascii="TimesNewRomanPSMT" w:hAnsi="TimesNewRomanPSMT" w:cs="TimesNewRomanPSMT"/>
          <w:color w:val="FF0000"/>
          <w:sz w:val="24"/>
          <w:szCs w:val="24"/>
        </w:rPr>
        <w:t xml:space="preserve">per il </w:t>
      </w:r>
      <w:r w:rsidRPr="00F628C1">
        <w:rPr>
          <w:rFonts w:ascii="Times New Roman" w:hAnsi="Times New Roman" w:cs="Times New Roman"/>
          <w:color w:val="FF0000"/>
          <w:sz w:val="24"/>
          <w:szCs w:val="24"/>
        </w:rPr>
        <w:t>periodo di programmazione 20</w:t>
      </w:r>
      <w:r>
        <w:rPr>
          <w:rFonts w:ascii="Times New Roman" w:hAnsi="Times New Roman" w:cs="Times New Roman"/>
          <w:color w:val="FF0000"/>
          <w:sz w:val="24"/>
          <w:szCs w:val="24"/>
        </w:rPr>
        <w:t>23</w:t>
      </w:r>
      <w:r w:rsidRPr="00F628C1">
        <w:rPr>
          <w:rFonts w:ascii="Times New Roman" w:hAnsi="Times New Roman" w:cs="Times New Roman"/>
          <w:color w:val="FF0000"/>
          <w:sz w:val="24"/>
          <w:szCs w:val="24"/>
        </w:rPr>
        <w:t>-202</w:t>
      </w:r>
      <w:r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="00F264A8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977A39">
        <w:rPr>
          <w:rFonts w:ascii="Times New Roman" w:hAnsi="Times New Roman" w:cs="Times New Roman"/>
          <w:color w:val="FF0000"/>
          <w:sz w:val="24"/>
          <w:szCs w:val="24"/>
        </w:rPr>
        <w:t xml:space="preserve"> ovvero:</w:t>
      </w:r>
    </w:p>
    <w:p w14:paraId="78CF8B2A" w14:textId="77777777" w:rsidR="00977A39" w:rsidRPr="00977A39" w:rsidRDefault="00977A39" w:rsidP="00977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</w:p>
    <w:p w14:paraId="0E91C933" w14:textId="7E71297F" w:rsidR="00977A39" w:rsidRPr="00977A39" w:rsidRDefault="00977A39" w:rsidP="00977A3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977A39">
        <w:rPr>
          <w:rFonts w:ascii="TimesNewRomanPSMT" w:hAnsi="TimesNewRomanPSMT" w:cs="TimesNewRomanPSMT"/>
          <w:color w:val="FF0000"/>
          <w:sz w:val="24"/>
          <w:szCs w:val="24"/>
        </w:rPr>
        <w:lastRenderedPageBreak/>
        <w:t>GAL operanti nel precedente periodo di programmazione 2014-2022;</w:t>
      </w:r>
    </w:p>
    <w:p w14:paraId="333DC903" w14:textId="7CE179DA" w:rsidR="00977A39" w:rsidRDefault="00977A39" w:rsidP="00F264A8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977A39">
        <w:rPr>
          <w:rFonts w:ascii="TimesNewRomanPSMT" w:hAnsi="TimesNewRomanPSMT" w:cs="TimesNewRomanPSMT"/>
          <w:color w:val="FF0000"/>
          <w:sz w:val="24"/>
          <w:szCs w:val="24"/>
        </w:rPr>
        <w:t>Partenariati composti da soggetti pubblici e privati che scelgano al loro interno un partner capofila</w:t>
      </w:r>
      <w:r w:rsidR="00F264A8">
        <w:rPr>
          <w:rFonts w:ascii="TimesNewRomanPSMT" w:hAnsi="TimesNewRomanPSMT" w:cs="TimesNewRomanPSMT"/>
          <w:color w:val="FF0000"/>
          <w:sz w:val="24"/>
          <w:szCs w:val="24"/>
        </w:rPr>
        <w:t xml:space="preserve"> </w:t>
      </w:r>
      <w:r w:rsidRPr="00977A39">
        <w:rPr>
          <w:rFonts w:ascii="TimesNewRomanPSMT" w:hAnsi="TimesNewRomanPSMT" w:cs="TimesNewRomanPSMT"/>
          <w:color w:val="FF0000"/>
          <w:sz w:val="24"/>
          <w:szCs w:val="24"/>
        </w:rPr>
        <w:t>per le questioni amministrative e finanziarie oppure si riuniscano in una struttura comune</w:t>
      </w:r>
      <w:r>
        <w:rPr>
          <w:rFonts w:ascii="TimesNewRomanPSMT" w:hAnsi="TimesNewRomanPSMT" w:cs="TimesNewRomanPSMT"/>
          <w:color w:val="FF0000"/>
          <w:sz w:val="24"/>
          <w:szCs w:val="24"/>
        </w:rPr>
        <w:t xml:space="preserve"> </w:t>
      </w:r>
      <w:r w:rsidRPr="00977A39">
        <w:rPr>
          <w:rFonts w:ascii="TimesNewRomanPSMT" w:hAnsi="TimesNewRomanPSMT" w:cs="TimesNewRomanPSMT"/>
          <w:color w:val="FF0000"/>
          <w:sz w:val="24"/>
          <w:szCs w:val="24"/>
        </w:rPr>
        <w:t>legalmente</w:t>
      </w:r>
      <w:r w:rsidR="00F264A8">
        <w:rPr>
          <w:rFonts w:ascii="TimesNewRomanPSMT" w:hAnsi="TimesNewRomanPSMT" w:cs="TimesNewRomanPSMT"/>
          <w:color w:val="FF0000"/>
          <w:sz w:val="24"/>
          <w:szCs w:val="24"/>
        </w:rPr>
        <w:t xml:space="preserve"> </w:t>
      </w:r>
      <w:r w:rsidRPr="00977A39">
        <w:rPr>
          <w:rFonts w:ascii="TimesNewRomanPSMT" w:hAnsi="TimesNewRomanPSMT" w:cs="TimesNewRomanPSMT"/>
          <w:color w:val="FF0000"/>
          <w:sz w:val="24"/>
          <w:szCs w:val="24"/>
        </w:rPr>
        <w:t>costituita;</w:t>
      </w:r>
    </w:p>
    <w:p w14:paraId="50BBED92" w14:textId="5CE57E71" w:rsidR="00977A39" w:rsidRPr="00977A39" w:rsidRDefault="00977A39" w:rsidP="00005C7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NewRomanPSMT" w:hAnsi="TimesNewRomanPSMT" w:cs="TimesNewRomanPSMT"/>
          <w:color w:val="FF0000"/>
          <w:sz w:val="24"/>
          <w:szCs w:val="24"/>
        </w:rPr>
        <w:t>N</w:t>
      </w:r>
      <w:r w:rsidRPr="00977A39">
        <w:rPr>
          <w:rFonts w:ascii="TimesNewRomanPSMT" w:hAnsi="TimesNewRomanPSMT" w:cs="TimesNewRomanPSMT"/>
          <w:color w:val="FF0000"/>
          <w:sz w:val="24"/>
          <w:szCs w:val="24"/>
        </w:rPr>
        <w:t>uovi partenariati costituendi, composti da soggetti pubblici e privati che scelgano al loro interno</w:t>
      </w:r>
      <w:r w:rsidR="00F264A8">
        <w:rPr>
          <w:rFonts w:ascii="TimesNewRomanPSMT" w:hAnsi="TimesNewRomanPSMT" w:cs="TimesNewRomanPSMT"/>
          <w:color w:val="FF0000"/>
          <w:sz w:val="24"/>
          <w:szCs w:val="24"/>
        </w:rPr>
        <w:t xml:space="preserve"> </w:t>
      </w:r>
      <w:r w:rsidRPr="00977A39">
        <w:rPr>
          <w:rFonts w:ascii="TimesNewRomanPSMT" w:hAnsi="TimesNewRomanPSMT" w:cs="TimesNewRomanPSMT"/>
          <w:color w:val="FF0000"/>
          <w:sz w:val="24"/>
          <w:szCs w:val="24"/>
        </w:rPr>
        <w:t>un partner capofila per le questioni amministrative e finanziarie oppure si riuniscano in una</w:t>
      </w:r>
      <w:r w:rsidR="00005C79">
        <w:rPr>
          <w:rFonts w:ascii="TimesNewRomanPSMT" w:hAnsi="TimesNewRomanPSMT" w:cs="TimesNewRomanPSMT"/>
          <w:color w:val="FF0000"/>
          <w:sz w:val="24"/>
          <w:szCs w:val="24"/>
        </w:rPr>
        <w:t xml:space="preserve"> </w:t>
      </w:r>
      <w:r w:rsidRPr="00977A39">
        <w:rPr>
          <w:rFonts w:ascii="TimesNewRomanPSMT" w:hAnsi="TimesNewRomanPSMT" w:cs="TimesNewRomanPSMT"/>
          <w:color w:val="FF0000"/>
          <w:sz w:val="24"/>
          <w:szCs w:val="24"/>
        </w:rPr>
        <w:t>struttura comune legalmente costituita.</w:t>
      </w:r>
    </w:p>
    <w:p w14:paraId="488F0875" w14:textId="77777777" w:rsidR="002A7706" w:rsidRDefault="002A7706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2445356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23DD420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8FF86DA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8.2.14.3.1.5. Costi ammissibili</w:t>
      </w:r>
    </w:p>
    <w:p w14:paraId="1DE507A8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2786D200" w14:textId="269AB6CA" w:rsidR="007C7156" w:rsidRPr="007C7156" w:rsidRDefault="007C7156" w:rsidP="007C7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7C7156">
        <w:rPr>
          <w:rFonts w:ascii="TimesNewRomanPSMT" w:hAnsi="TimesNewRomanPSMT" w:cs="TimesNewRomanPSMT"/>
          <w:color w:val="FF0000"/>
          <w:sz w:val="24"/>
          <w:szCs w:val="24"/>
        </w:rPr>
        <w:t xml:space="preserve">Per i partenariati pubblico/privati che presentano una strategia di sviluppo locale per il </w:t>
      </w:r>
      <w:r w:rsidRPr="007C7156">
        <w:rPr>
          <w:rFonts w:ascii="Times New Roman" w:hAnsi="Times New Roman" w:cs="Times New Roman"/>
          <w:color w:val="FF0000"/>
          <w:sz w:val="24"/>
          <w:szCs w:val="24"/>
        </w:rPr>
        <w:t xml:space="preserve">periodo di programmazione 2014-2022 </w:t>
      </w:r>
      <w:r w:rsidRPr="007C7156">
        <w:rPr>
          <w:rFonts w:ascii="TimesNewRomanPSMT" w:hAnsi="TimesNewRomanPSMT" w:cs="TimesNewRomanPSMT"/>
          <w:sz w:val="24"/>
          <w:szCs w:val="24"/>
        </w:rPr>
        <w:t>sono considerate ammissibili le seguenti tipologie di spesa:</w:t>
      </w:r>
    </w:p>
    <w:p w14:paraId="32222607" w14:textId="77777777" w:rsidR="007C7156" w:rsidRPr="007C7156" w:rsidRDefault="007C7156" w:rsidP="007C715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67" w:hanging="567"/>
        <w:rPr>
          <w:rFonts w:ascii="TimesNewRomanPSMT" w:hAnsi="TimesNewRomanPSMT" w:cs="TimesNewRomanPSMT"/>
          <w:sz w:val="24"/>
          <w:szCs w:val="24"/>
        </w:rPr>
      </w:pPr>
      <w:r w:rsidRPr="007C7156">
        <w:rPr>
          <w:rFonts w:ascii="TimesNewRomanPSMT" w:hAnsi="TimesNewRomanPSMT" w:cs="TimesNewRomanPSMT"/>
          <w:sz w:val="24"/>
          <w:szCs w:val="24"/>
        </w:rPr>
        <w:t>studi del territorio interessato, compresi studi di fattibilità, ai fini della progettazione della strategia;</w:t>
      </w:r>
    </w:p>
    <w:p w14:paraId="6319A22C" w14:textId="77777777" w:rsidR="007C7156" w:rsidRPr="007C7156" w:rsidRDefault="007C7156" w:rsidP="007C715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67" w:hanging="567"/>
        <w:rPr>
          <w:rFonts w:ascii="TimesNewRomanPSMT" w:hAnsi="TimesNewRomanPSMT" w:cs="TimesNewRomanPSMT"/>
          <w:sz w:val="24"/>
          <w:szCs w:val="24"/>
        </w:rPr>
      </w:pPr>
      <w:r w:rsidRPr="007C7156">
        <w:rPr>
          <w:rFonts w:ascii="TimesNewRomanPSMT" w:hAnsi="TimesNewRomanPSMT" w:cs="TimesNewRomanPSMT"/>
          <w:sz w:val="24"/>
          <w:szCs w:val="24"/>
        </w:rPr>
        <w:t>costi relativi al coordinamento e alla progettazione, ai fini della preparazione della strategia, comprese le spese di consulenza e i costi relativi alle consultazioni dei soggetti interessati.</w:t>
      </w:r>
    </w:p>
    <w:p w14:paraId="696F64B3" w14:textId="112240E0" w:rsidR="007C7156" w:rsidRDefault="007C7156" w:rsidP="007C7156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67" w:hanging="567"/>
        <w:rPr>
          <w:rFonts w:ascii="TimesNewRomanPSMT" w:hAnsi="TimesNewRomanPSMT" w:cs="TimesNewRomanPSMT"/>
          <w:sz w:val="24"/>
          <w:szCs w:val="24"/>
        </w:rPr>
      </w:pPr>
      <w:r w:rsidRPr="007C7156">
        <w:rPr>
          <w:rFonts w:ascii="TimesNewRomanPSMT" w:hAnsi="TimesNewRomanPSMT" w:cs="TimesNewRomanPSMT"/>
          <w:sz w:val="24"/>
          <w:szCs w:val="24"/>
        </w:rPr>
        <w:t>costi amministrativi (costi operativi e del personale) sostenuti durante la fase di preparazione</w:t>
      </w:r>
    </w:p>
    <w:p w14:paraId="6A1F9ABA" w14:textId="77777777" w:rsidR="007C7156" w:rsidRPr="007C7156" w:rsidRDefault="007C7156" w:rsidP="007C7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8633CDA" w14:textId="6EFA8C46" w:rsidR="007C7156" w:rsidRPr="007C7156" w:rsidRDefault="007C7156" w:rsidP="007C71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>
        <w:rPr>
          <w:rFonts w:ascii="TimesNewRomanPSMT" w:hAnsi="TimesNewRomanPSMT" w:cs="TimesNewRomanPSMT"/>
          <w:color w:val="FF0000"/>
          <w:sz w:val="24"/>
          <w:szCs w:val="24"/>
        </w:rPr>
        <w:t>Per i p</w:t>
      </w:r>
      <w:r w:rsidRPr="007C7156">
        <w:rPr>
          <w:rFonts w:ascii="TimesNewRomanPSMT" w:hAnsi="TimesNewRomanPSMT" w:cs="TimesNewRomanPSMT"/>
          <w:color w:val="FF0000"/>
          <w:sz w:val="24"/>
          <w:szCs w:val="24"/>
        </w:rPr>
        <w:t>artenariati pubblico/privati che presentano una strategia di sviluppo locale per il periodo di programmazione 2023-2027</w:t>
      </w:r>
      <w:r>
        <w:rPr>
          <w:rFonts w:ascii="TimesNewRomanPSMT" w:hAnsi="TimesNewRomanPSMT" w:cs="TimesNewRomanPSMT"/>
          <w:color w:val="FF0000"/>
          <w:sz w:val="24"/>
          <w:szCs w:val="24"/>
        </w:rPr>
        <w:t xml:space="preserve"> </w:t>
      </w:r>
      <w:r w:rsidRPr="007C7156">
        <w:rPr>
          <w:rFonts w:ascii="TimesNewRomanPSMT" w:hAnsi="TimesNewRomanPSMT" w:cs="TimesNewRomanPSMT"/>
          <w:color w:val="FF0000"/>
          <w:sz w:val="24"/>
          <w:szCs w:val="24"/>
        </w:rPr>
        <w:t>sono considerate ammissibili le seguenti tipologie di spesa:</w:t>
      </w:r>
    </w:p>
    <w:p w14:paraId="03D03F91" w14:textId="19855E55" w:rsidR="00214075" w:rsidRPr="00F628C1" w:rsidRDefault="00214075" w:rsidP="0095321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67" w:hanging="567"/>
        <w:rPr>
          <w:rFonts w:ascii="TimesNewRomanPSMT" w:hAnsi="TimesNewRomanPSMT" w:cs="TimesNewRomanPSMT"/>
          <w:color w:val="FF0000"/>
          <w:sz w:val="24"/>
          <w:szCs w:val="24"/>
        </w:rPr>
      </w:pPr>
      <w:r w:rsidRPr="00F628C1">
        <w:rPr>
          <w:rFonts w:ascii="TimesNewRomanPSMT" w:hAnsi="TimesNewRomanPSMT" w:cs="TimesNewRomanPSMT"/>
          <w:color w:val="FF0000"/>
          <w:sz w:val="24"/>
          <w:szCs w:val="24"/>
        </w:rPr>
        <w:t>informazione e aggiornamento delle parti interessate;</w:t>
      </w:r>
    </w:p>
    <w:p w14:paraId="0F5D1D7E" w14:textId="68C39A5A" w:rsidR="00214075" w:rsidRPr="00F628C1" w:rsidRDefault="00214075" w:rsidP="00953219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color w:val="FF0000"/>
          <w:sz w:val="24"/>
          <w:szCs w:val="24"/>
        </w:rPr>
      </w:pPr>
      <w:r w:rsidRPr="00F628C1">
        <w:rPr>
          <w:rFonts w:ascii="TimesNewRomanPSMT" w:hAnsi="TimesNewRomanPSMT" w:cs="TimesNewRomanPSMT"/>
          <w:color w:val="FF0000"/>
          <w:sz w:val="24"/>
          <w:szCs w:val="24"/>
        </w:rPr>
        <w:t>animazione, comunicazione e diffusione delle informazioni;</w:t>
      </w:r>
    </w:p>
    <w:p w14:paraId="3C4D3671" w14:textId="7F3C3ADB" w:rsidR="0089057F" w:rsidRPr="00F628C1" w:rsidRDefault="0089057F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67" w:hanging="567"/>
        <w:rPr>
          <w:rFonts w:ascii="TimesNewRomanPSMT" w:hAnsi="TimesNewRomanPSMT" w:cs="TimesNewRomanPSMT"/>
          <w:color w:val="FF0000"/>
          <w:sz w:val="24"/>
          <w:szCs w:val="24"/>
        </w:rPr>
      </w:pPr>
      <w:r w:rsidRPr="00F628C1">
        <w:rPr>
          <w:rFonts w:ascii="TimesNewRomanPSMT" w:hAnsi="TimesNewRomanPSMT" w:cs="TimesNewRomanPSMT"/>
          <w:color w:val="FF0000"/>
          <w:sz w:val="24"/>
          <w:szCs w:val="24"/>
        </w:rPr>
        <w:t xml:space="preserve">studi relativi alla zona interessata, studi di fattibilità ai fini della preparazione della strategia di sviluppo locale; </w:t>
      </w:r>
    </w:p>
    <w:p w14:paraId="06447219" w14:textId="76F72083" w:rsidR="0089057F" w:rsidRPr="007C7156" w:rsidRDefault="0089057F" w:rsidP="00662423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567" w:hanging="567"/>
        <w:rPr>
          <w:rFonts w:ascii="TimesNewRomanPSMT" w:hAnsi="TimesNewRomanPSMT" w:cs="TimesNewRomanPSMT"/>
          <w:color w:val="FF0000"/>
          <w:sz w:val="24"/>
          <w:szCs w:val="24"/>
        </w:rPr>
      </w:pPr>
      <w:r w:rsidRPr="00F628C1">
        <w:rPr>
          <w:rFonts w:ascii="TimesNewRomanPSMT" w:hAnsi="TimesNewRomanPSMT" w:cs="TimesNewRomanPSMT"/>
          <w:color w:val="FF0000"/>
          <w:sz w:val="24"/>
          <w:szCs w:val="24"/>
        </w:rPr>
        <w:t>costi amministrativi, costi operativi e del personale dell’organizzazione che richiede sostegno preparatorio.</w:t>
      </w:r>
    </w:p>
    <w:p w14:paraId="4BD60B65" w14:textId="77777777" w:rsidR="00662423" w:rsidRPr="00662423" w:rsidRDefault="00662423" w:rsidP="006624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06B0EDC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625EA50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commentRangeStart w:id="0"/>
      <w:r>
        <w:rPr>
          <w:rFonts w:ascii="ArialMT" w:hAnsi="ArialMT" w:cs="ArialMT"/>
        </w:rPr>
        <w:t>8.2.14.3.1.6. Condizioni di ammissibilità</w:t>
      </w:r>
      <w:commentRangeEnd w:id="0"/>
      <w:r w:rsidR="00B93745">
        <w:rPr>
          <w:rStyle w:val="Rimandocommento"/>
        </w:rPr>
        <w:commentReference w:id="0"/>
      </w:r>
    </w:p>
    <w:p w14:paraId="779AB11D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4887009F" w14:textId="4D03BBF2" w:rsidR="00DF0852" w:rsidRPr="00DF0852" w:rsidRDefault="00DF0852" w:rsidP="0066242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98"/>
        <w:rPr>
          <w:color w:val="FF0000"/>
        </w:rPr>
      </w:pPr>
      <w:r w:rsidRPr="00DF0852">
        <w:rPr>
          <w:color w:val="FF0000"/>
        </w:rPr>
        <w:t>Per i partenariati pubblico/privati che presentano una strategia di sviluppo locale per il periodo di programmazione 2014-2022</w:t>
      </w:r>
      <w:r>
        <w:rPr>
          <w:color w:val="FF0000"/>
        </w:rPr>
        <w:t>:</w:t>
      </w:r>
    </w:p>
    <w:p w14:paraId="046352CC" w14:textId="77777777" w:rsidR="00DF0852" w:rsidRDefault="00DF0852" w:rsidP="0066242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98"/>
        <w:rPr>
          <w:strike/>
          <w:color w:val="FF0000"/>
        </w:rPr>
      </w:pPr>
    </w:p>
    <w:p w14:paraId="4E1527B0" w14:textId="7E2FA1E9" w:rsidR="00662423" w:rsidRPr="00DF0852" w:rsidRDefault="00662423" w:rsidP="0066242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98"/>
      </w:pPr>
      <w:r w:rsidRPr="00DF0852">
        <w:t>L’aiuto viene concesso ai partenar</w:t>
      </w:r>
      <w:r w:rsidR="008E56A4" w:rsidRPr="00DF0852">
        <w:t>iati</w:t>
      </w:r>
      <w:r w:rsidRPr="00DF0852">
        <w:t xml:space="preserve"> ammissibili alla Misura 19.2, a prescindere dal finanziamento della strategia presentata.</w:t>
      </w:r>
    </w:p>
    <w:p w14:paraId="09342E41" w14:textId="04D1A985" w:rsidR="00662423" w:rsidRPr="008E56A4" w:rsidRDefault="00662423" w:rsidP="0066242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98"/>
        <w:rPr>
          <w:highlight w:val="red"/>
        </w:rPr>
      </w:pPr>
    </w:p>
    <w:p w14:paraId="1B82C660" w14:textId="77777777" w:rsidR="00DF0852" w:rsidRDefault="00662423" w:rsidP="008E56A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98"/>
        <w:rPr>
          <w:color w:val="FF0000"/>
        </w:rPr>
      </w:pPr>
      <w:r w:rsidRPr="00BB46C6">
        <w:t xml:space="preserve">Sono ammissibili le spese </w:t>
      </w:r>
      <w:r w:rsidRPr="00DF0852">
        <w:t>sostenute dal 1° gennaio 2015</w:t>
      </w:r>
      <w:r w:rsidR="00BB46C6" w:rsidRPr="00DF0852">
        <w:rPr>
          <w:color w:val="FF0000"/>
        </w:rPr>
        <w:t xml:space="preserve"> </w:t>
      </w:r>
    </w:p>
    <w:p w14:paraId="40FD9177" w14:textId="77777777" w:rsidR="00005C79" w:rsidRDefault="00005C79" w:rsidP="00DF085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98"/>
        <w:jc w:val="both"/>
        <w:rPr>
          <w:rFonts w:ascii="TimesNewRomanPSMT" w:hAnsi="TimesNewRomanPSMT" w:cs="TimesNewRomanPSMT"/>
          <w:color w:val="FF0000"/>
        </w:rPr>
      </w:pPr>
    </w:p>
    <w:p w14:paraId="1357606E" w14:textId="6B308F7D" w:rsidR="00DF0852" w:rsidRDefault="00DF0852" w:rsidP="00DF085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98"/>
        <w:jc w:val="both"/>
        <w:rPr>
          <w:rFonts w:ascii="TimesNewRomanPSMT" w:hAnsi="TimesNewRomanPSMT" w:cs="TimesNewRomanPSMT"/>
          <w:color w:val="FF0000"/>
        </w:rPr>
      </w:pPr>
      <w:r>
        <w:rPr>
          <w:rFonts w:ascii="TimesNewRomanPSMT" w:hAnsi="TimesNewRomanPSMT" w:cs="TimesNewRomanPSMT"/>
          <w:color w:val="FF0000"/>
        </w:rPr>
        <w:t>Per i p</w:t>
      </w:r>
      <w:r w:rsidRPr="007C7156">
        <w:rPr>
          <w:rFonts w:ascii="TimesNewRomanPSMT" w:hAnsi="TimesNewRomanPSMT" w:cs="TimesNewRomanPSMT"/>
          <w:color w:val="FF0000"/>
        </w:rPr>
        <w:t>artenariati pubblico/privati che presentano una strategia di sviluppo locale per il periodo di programmazione 2023-2027</w:t>
      </w:r>
      <w:r>
        <w:rPr>
          <w:rFonts w:ascii="TimesNewRomanPSMT" w:hAnsi="TimesNewRomanPSMT" w:cs="TimesNewRomanPSMT"/>
          <w:color w:val="FF0000"/>
        </w:rPr>
        <w:t>:</w:t>
      </w:r>
    </w:p>
    <w:p w14:paraId="4D5EDA17" w14:textId="4AE1877C" w:rsidR="00DF0852" w:rsidRDefault="00DF0852" w:rsidP="00DF085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98"/>
        <w:jc w:val="both"/>
        <w:rPr>
          <w:color w:val="FF0000"/>
        </w:rPr>
      </w:pPr>
    </w:p>
    <w:p w14:paraId="47E403C6" w14:textId="3DA7BC7D" w:rsidR="00DF0852" w:rsidRDefault="00746E45" w:rsidP="00746E4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426" w:hanging="328"/>
        <w:jc w:val="both"/>
        <w:rPr>
          <w:color w:val="FF0000"/>
        </w:rPr>
      </w:pPr>
      <w:r>
        <w:rPr>
          <w:color w:val="FF0000"/>
        </w:rPr>
        <w:t>-</w:t>
      </w:r>
      <w:r>
        <w:rPr>
          <w:color w:val="FF0000"/>
        </w:rPr>
        <w:tab/>
        <w:t>l</w:t>
      </w:r>
      <w:r w:rsidR="00DF0852" w:rsidRPr="00DF0852">
        <w:rPr>
          <w:color w:val="FF0000"/>
        </w:rPr>
        <w:t>’ammissibilità della concessione del sostegno ai beneficiari di questo intervento è subordinata alla presentazione di una proposta di SSL o di una SSL, risultato dell’attività di consultazione e animazione svolta dai partenariati candidati, secondo gli elementi contemplati negli artt. 32 e 33 del Reg. (UE) 2021/1060</w:t>
      </w:r>
      <w:r w:rsidR="00DF0852">
        <w:rPr>
          <w:color w:val="FF0000"/>
        </w:rPr>
        <w:t>;</w:t>
      </w:r>
    </w:p>
    <w:p w14:paraId="491785CD" w14:textId="1E3D22F9" w:rsidR="00DF0852" w:rsidRDefault="00746E45" w:rsidP="00746E45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426" w:hanging="328"/>
        <w:jc w:val="both"/>
        <w:rPr>
          <w:color w:val="FF0000"/>
        </w:rPr>
      </w:pPr>
      <w:r>
        <w:rPr>
          <w:color w:val="FF0000"/>
        </w:rPr>
        <w:t>-</w:t>
      </w:r>
      <w:r>
        <w:rPr>
          <w:color w:val="FF0000"/>
        </w:rPr>
        <w:tab/>
        <w:t>i</w:t>
      </w:r>
      <w:r w:rsidR="00DF0852" w:rsidRPr="00DF0852">
        <w:rPr>
          <w:color w:val="FF0000"/>
        </w:rPr>
        <w:t xml:space="preserve">n accordo con l’articolo 34 del Regolamento UE 2021/1060 il </w:t>
      </w:r>
      <w:r w:rsidR="00005C79">
        <w:rPr>
          <w:color w:val="FF0000"/>
        </w:rPr>
        <w:t>s</w:t>
      </w:r>
      <w:r w:rsidR="00DF0852" w:rsidRPr="00DF0852">
        <w:rPr>
          <w:color w:val="FF0000"/>
        </w:rPr>
        <w:t>ostegno allo sviluppo delle capacità e azioni preparatorie a sostegno dell’elaborazione e della futura attuazione delle strategie è ammissibile a prescindere dal fatto che la strategia sia successivamente ammessa a ricevere il sostegno</w:t>
      </w:r>
      <w:r w:rsidR="00DF0852">
        <w:rPr>
          <w:color w:val="FF0000"/>
        </w:rPr>
        <w:t>.</w:t>
      </w:r>
    </w:p>
    <w:p w14:paraId="73F6EAC4" w14:textId="77777777" w:rsidR="00746E45" w:rsidRPr="00F628C1" w:rsidRDefault="00746E45" w:rsidP="00DF0852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/>
        <w:ind w:left="98"/>
        <w:jc w:val="both"/>
        <w:rPr>
          <w:color w:val="FF0000"/>
        </w:rPr>
      </w:pPr>
    </w:p>
    <w:p w14:paraId="28C72C28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lastRenderedPageBreak/>
        <w:t>8.2.14.3.1.7. Principi concernenti la fissazione dei criteri di selezione</w:t>
      </w:r>
    </w:p>
    <w:p w14:paraId="7BF5D617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03DBFC28" w14:textId="0D6FC0A8" w:rsidR="00D41800" w:rsidRPr="00D41800" w:rsidRDefault="00D41800" w:rsidP="00C7555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D41800">
        <w:rPr>
          <w:rFonts w:ascii="TimesNewRomanPSMT" w:hAnsi="TimesNewRomanPSMT" w:cs="TimesNewRomanPSMT"/>
          <w:sz w:val="24"/>
          <w:szCs w:val="24"/>
        </w:rPr>
        <w:t>Per i partenariati pubblico/privati che presentano una strategia di sviluppo locale per il periodo di programmazione 2014-2022:</w:t>
      </w:r>
    </w:p>
    <w:p w14:paraId="2DD48FB5" w14:textId="77777777" w:rsidR="00D41800" w:rsidRDefault="00D41800" w:rsidP="00C7555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trike/>
          <w:color w:val="FF0000"/>
          <w:sz w:val="24"/>
          <w:szCs w:val="24"/>
        </w:rPr>
      </w:pPr>
    </w:p>
    <w:p w14:paraId="3D232217" w14:textId="296549FF" w:rsidR="00662423" w:rsidRPr="00D41800" w:rsidRDefault="00662423" w:rsidP="00C7555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D41800">
        <w:rPr>
          <w:rFonts w:ascii="TimesNewRomanPSMT" w:hAnsi="TimesNewRomanPSMT" w:cs="TimesNewRomanPSMT"/>
          <w:sz w:val="24"/>
          <w:szCs w:val="24"/>
        </w:rPr>
        <w:t>Non si prevedono criteri di selezione, saranno finanziate tutte le domande ammissibili alla Misura 19.2.</w:t>
      </w:r>
    </w:p>
    <w:p w14:paraId="6F374841" w14:textId="639518ED" w:rsidR="0091747B" w:rsidRDefault="0091747B" w:rsidP="00C7555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trike/>
          <w:color w:val="FF0000"/>
          <w:sz w:val="24"/>
          <w:szCs w:val="24"/>
        </w:rPr>
      </w:pPr>
    </w:p>
    <w:p w14:paraId="3FE1B0AD" w14:textId="72C152D7" w:rsidR="00C7555F" w:rsidRPr="00C7555F" w:rsidRDefault="00D41800" w:rsidP="00C7555F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D41800">
        <w:rPr>
          <w:rFonts w:ascii="TimesNewRomanPSMT" w:hAnsi="TimesNewRomanPSMT" w:cs="TimesNewRomanPSMT"/>
          <w:color w:val="FF0000"/>
          <w:sz w:val="24"/>
          <w:szCs w:val="24"/>
        </w:rPr>
        <w:t>Per i partenariati pubblico/privati che presentano una strategia di sviluppo locale per il periodo di programmazione 2023-2027</w:t>
      </w:r>
      <w:r w:rsidR="00C7555F">
        <w:rPr>
          <w:rFonts w:ascii="TimesNewRomanPSMT" w:hAnsi="TimesNewRomanPSMT" w:cs="TimesNewRomanPSMT"/>
          <w:color w:val="FF0000"/>
          <w:sz w:val="24"/>
          <w:szCs w:val="24"/>
        </w:rPr>
        <w:t xml:space="preserve"> i</w:t>
      </w:r>
      <w:r w:rsidR="00C7555F" w:rsidRPr="00C7555F">
        <w:rPr>
          <w:rFonts w:ascii="TimesNewRomanPSMT" w:hAnsi="TimesNewRomanPSMT" w:cs="TimesNewRomanPSMT"/>
          <w:color w:val="FF0000"/>
          <w:sz w:val="24"/>
          <w:szCs w:val="24"/>
        </w:rPr>
        <w:t xml:space="preserve"> criteri per la selezione dei beneficiari sono individuati secondo i seguenti principi:</w:t>
      </w:r>
    </w:p>
    <w:p w14:paraId="50C72F7B" w14:textId="6EB94894" w:rsidR="00C7555F" w:rsidRPr="00C7555F" w:rsidRDefault="005E71F2" w:rsidP="005E71F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7555F" w:rsidRPr="005E71F2">
        <w:rPr>
          <w:rFonts w:ascii="Times New Roman" w:eastAsia="Times New Roman" w:hAnsi="Times New Roman" w:cs="Times New Roman"/>
          <w:color w:val="FF0000"/>
          <w:sz w:val="24"/>
          <w:szCs w:val="24"/>
        </w:rPr>
        <w:t>Qualità</w:t>
      </w:r>
      <w:r w:rsidR="00C7555F" w:rsidRPr="00C7555F">
        <w:rPr>
          <w:rFonts w:ascii="Times New Roman" w:hAnsi="Times New Roman" w:cs="Times New Roman"/>
          <w:color w:val="FF0000"/>
          <w:sz w:val="24"/>
          <w:szCs w:val="24"/>
        </w:rPr>
        <w:t xml:space="preserve"> del partenariato;</w:t>
      </w:r>
    </w:p>
    <w:p w14:paraId="047556F5" w14:textId="5F6EE2EE" w:rsidR="00C7555F" w:rsidRPr="00C7555F" w:rsidRDefault="005E71F2" w:rsidP="005E71F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7555F" w:rsidRPr="005E71F2">
        <w:rPr>
          <w:rFonts w:ascii="Times New Roman" w:eastAsia="Times New Roman" w:hAnsi="Times New Roman" w:cs="Times New Roman"/>
          <w:color w:val="FF0000"/>
          <w:sz w:val="24"/>
          <w:szCs w:val="24"/>
        </w:rPr>
        <w:t>Caratteristiche</w:t>
      </w:r>
      <w:r w:rsidR="00C7555F" w:rsidRPr="00C7555F">
        <w:rPr>
          <w:rFonts w:ascii="Times New Roman" w:hAnsi="Times New Roman" w:cs="Times New Roman"/>
          <w:color w:val="FF0000"/>
          <w:sz w:val="24"/>
          <w:szCs w:val="24"/>
        </w:rPr>
        <w:t xml:space="preserve"> dell’ambito territoriale;  </w:t>
      </w:r>
    </w:p>
    <w:p w14:paraId="1685E7EE" w14:textId="77777777" w:rsidR="005E71F2" w:rsidRDefault="005E71F2" w:rsidP="005E71F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7555F" w:rsidRPr="005E71F2">
        <w:rPr>
          <w:rFonts w:ascii="Times New Roman" w:eastAsia="Times New Roman" w:hAnsi="Times New Roman" w:cs="Times New Roman"/>
          <w:color w:val="FF0000"/>
          <w:sz w:val="24"/>
          <w:szCs w:val="24"/>
        </w:rPr>
        <w:t>Qualità della SSL e del Piano di Azione (es. capacità della SSL e/o delle operazioni in essa pianificate di favorire l’innovazione di processo, prodotto, organizzativa e sociale; rilevanza verso target e finalità specifiche; ricadute sul territorio; integrazione con altri interventi della PAC e/o altri programmi sostenuti dai fondi UE e/o altri strumenti legislativi nazionali/regionali/provinciali);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14:paraId="24959D3E" w14:textId="0CD95564" w:rsidR="00C7555F" w:rsidRPr="005E71F2" w:rsidRDefault="005E71F2" w:rsidP="005E71F2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C7555F" w:rsidRPr="005E71F2">
        <w:rPr>
          <w:rFonts w:ascii="Times New Roman" w:eastAsia="Times New Roman" w:hAnsi="Times New Roman" w:cs="Times New Roman"/>
          <w:color w:val="FF0000"/>
          <w:sz w:val="24"/>
          <w:szCs w:val="24"/>
        </w:rPr>
        <w:t>Modalità di gestione, attuazione, sorveglianza della SSL.</w:t>
      </w:r>
    </w:p>
    <w:p w14:paraId="5DF4A3EE" w14:textId="151612A4" w:rsidR="001F4139" w:rsidRDefault="00B547C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TimesNewRomanPSMT" w:hAnsi="TimesNewRomanPSMT" w:cs="TimesNewRomanPSMT"/>
          <w:color w:val="FF0000"/>
          <w:sz w:val="24"/>
          <w:szCs w:val="24"/>
        </w:rPr>
        <w:t>I</w:t>
      </w:r>
      <w:r w:rsidRPr="00B547C7">
        <w:rPr>
          <w:rFonts w:ascii="TimesNewRomanPSMT" w:hAnsi="TimesNewRomanPSMT" w:cs="TimesNewRomanPSMT"/>
          <w:sz w:val="24"/>
          <w:szCs w:val="24"/>
        </w:rPr>
        <w:t>l sostegno è concesso a tutti i beneficiari nel rispetto delle condizioni di ammissibilità previste da questo intervento, coerentemente con le tempistiche e gli adempimenti di implementazione previsti dagli artt. 32, par. 3, e 33, par. 4, del Reg. (UE) 2021/1060</w:t>
      </w:r>
      <w:r>
        <w:rPr>
          <w:rFonts w:ascii="TimesNewRomanPSMT" w:hAnsi="TimesNewRomanPSMT" w:cs="TimesNewRomanPSMT"/>
          <w:sz w:val="24"/>
          <w:szCs w:val="24"/>
        </w:rPr>
        <w:t xml:space="preserve">. </w:t>
      </w:r>
      <w:r w:rsidRPr="00B547C7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303F2DAD" w14:textId="77777777" w:rsidR="001F4139" w:rsidRDefault="001F4139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77048DDC" w14:textId="0D41CC16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8.2.14.3.1.8. Importi e aliquote di sostegno (applicabili)</w:t>
      </w:r>
    </w:p>
    <w:p w14:paraId="04C31A5A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4BD691B0" w14:textId="065C073C" w:rsidR="00804FA7" w:rsidRPr="00175C1F" w:rsidRDefault="00175C1F" w:rsidP="0017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37211B">
        <w:rPr>
          <w:rFonts w:ascii="TimesNewRomanPSMT" w:hAnsi="TimesNewRomanPSMT" w:cs="TimesNewRomanPSMT"/>
          <w:color w:val="FF0000"/>
          <w:sz w:val="24"/>
          <w:szCs w:val="24"/>
        </w:rPr>
        <w:t xml:space="preserve">Per i partenariati pubblico/privati che presentano una strategia di sviluppo locale per il periodo di programmazione 2014-2022 </w:t>
      </w:r>
      <w:r>
        <w:rPr>
          <w:rFonts w:ascii="TimesNewRomanPSMT" w:hAnsi="TimesNewRomanPSMT" w:cs="TimesNewRomanPSMT"/>
          <w:sz w:val="24"/>
          <w:szCs w:val="24"/>
        </w:rPr>
        <w:t>i</w:t>
      </w:r>
      <w:r w:rsidR="00804FA7">
        <w:rPr>
          <w:rFonts w:ascii="TimesNewRomanPSMT" w:hAnsi="TimesNewRomanPSMT" w:cs="TimesNewRomanPSMT"/>
          <w:sz w:val="24"/>
          <w:szCs w:val="24"/>
        </w:rPr>
        <w:t xml:space="preserve">l contributo pubblico è pari al 100% della spesa ammessa. L’importo massimo di </w:t>
      </w:r>
      <w:r w:rsidR="00804FA7" w:rsidRPr="00175C1F">
        <w:rPr>
          <w:rFonts w:ascii="TimesNewRomanPSMT" w:hAnsi="TimesNewRomanPSMT" w:cs="TimesNewRomanPSMT"/>
          <w:sz w:val="24"/>
          <w:szCs w:val="24"/>
        </w:rPr>
        <w:t>contributo è pari ad €</w:t>
      </w:r>
      <w:r w:rsidR="001D2B4F" w:rsidRPr="00175C1F">
        <w:rPr>
          <w:rFonts w:ascii="TimesNewRomanPSMT" w:hAnsi="TimesNewRomanPSMT" w:cs="TimesNewRomanPSMT"/>
          <w:sz w:val="24"/>
          <w:szCs w:val="24"/>
        </w:rPr>
        <w:t xml:space="preserve"> </w:t>
      </w:r>
      <w:r w:rsidR="001F4139" w:rsidRPr="00175C1F">
        <w:rPr>
          <w:rFonts w:ascii="TimesNewRomanPSMT" w:hAnsi="TimesNewRomanPSMT" w:cs="TimesNewRomanPSMT"/>
          <w:sz w:val="24"/>
          <w:szCs w:val="24"/>
        </w:rPr>
        <w:t>2</w:t>
      </w:r>
      <w:r w:rsidR="001D2B4F" w:rsidRPr="00175C1F">
        <w:rPr>
          <w:rFonts w:ascii="TimesNewRomanPSMT" w:hAnsi="TimesNewRomanPSMT" w:cs="TimesNewRomanPSMT"/>
          <w:sz w:val="24"/>
          <w:szCs w:val="24"/>
        </w:rPr>
        <w:t>0.000</w:t>
      </w:r>
      <w:r w:rsidR="001F4139" w:rsidRPr="00175C1F">
        <w:rPr>
          <w:rFonts w:ascii="TimesNewRomanPSMT" w:hAnsi="TimesNewRomanPSMT" w:cs="TimesNewRomanPSMT"/>
          <w:sz w:val="24"/>
          <w:szCs w:val="24"/>
        </w:rPr>
        <w:t xml:space="preserve"> €.</w:t>
      </w:r>
    </w:p>
    <w:p w14:paraId="201FD683" w14:textId="00752966" w:rsidR="00175C1F" w:rsidRDefault="00175C1F" w:rsidP="0017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</w:p>
    <w:p w14:paraId="77C9A509" w14:textId="3B611940" w:rsidR="00175C1F" w:rsidRPr="00175C1F" w:rsidRDefault="00175C1F" w:rsidP="0017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175C1F">
        <w:rPr>
          <w:rFonts w:ascii="TimesNewRomanPSMT" w:hAnsi="TimesNewRomanPSMT" w:cs="TimesNewRomanPSMT"/>
          <w:color w:val="FF0000"/>
          <w:sz w:val="24"/>
          <w:szCs w:val="24"/>
        </w:rPr>
        <w:t>Per i partenariati pubblico/privati che presentano una strategia di sviluppo locale per il periodo di programmazione 2023-2027 il contributo pubblico è pari al 100% della spesa ammessa. L’importo massimo di contributo è pari ad 40.000 €.</w:t>
      </w:r>
    </w:p>
    <w:p w14:paraId="29C1DE4F" w14:textId="0DCD400F" w:rsidR="00175C1F" w:rsidRPr="00F628C1" w:rsidRDefault="00175C1F" w:rsidP="00175C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</w:p>
    <w:p w14:paraId="52073986" w14:textId="77777777" w:rsidR="001F4139" w:rsidRDefault="001F413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19FE01D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D655D79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8.2.14.3.1.9. Verificabilità e controllabilità delle misure e/o dei tipi di interventi</w:t>
      </w:r>
    </w:p>
    <w:p w14:paraId="64BFD9DA" w14:textId="77777777" w:rsidR="00B00C19" w:rsidRDefault="00B00C19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2F155EFB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8.2.14.3.1.9.1. Rischio/rischi inerenti all'attuazione delle misure</w:t>
      </w:r>
    </w:p>
    <w:p w14:paraId="61E99467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58EF2FB9" w14:textId="77777777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I rischi inerenti l'applicazione dell'operazione sono descritti nella seguente tabella.</w:t>
      </w:r>
    </w:p>
    <w:p w14:paraId="63B72EA8" w14:textId="77777777" w:rsidR="00662423" w:rsidRDefault="0066242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B06B328" w14:textId="30C3D460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La tabella è riportata anche nell’allegato U al Programma</w:t>
      </w:r>
      <w:r w:rsidR="001D2B4F">
        <w:rPr>
          <w:rFonts w:ascii="TimesNewRomanPSMT" w:hAnsi="TimesNewRomanPSMT" w:cs="TimesNewRomanPSMT"/>
          <w:sz w:val="24"/>
          <w:szCs w:val="24"/>
        </w:rPr>
        <w:t>.</w:t>
      </w:r>
    </w:p>
    <w:p w14:paraId="7B13F565" w14:textId="5C02CEFD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2CBB937" w14:textId="0C8D761C" w:rsidR="00F628C1" w:rsidRDefault="00F628C1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TableNormal1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 w:firstRow="1" w:lastRow="1" w:firstColumn="1" w:lastColumn="1" w:noHBand="0" w:noVBand="0"/>
      </w:tblPr>
      <w:tblGrid>
        <w:gridCol w:w="2343"/>
        <w:gridCol w:w="979"/>
        <w:gridCol w:w="1521"/>
        <w:gridCol w:w="1393"/>
        <w:gridCol w:w="1627"/>
        <w:gridCol w:w="2265"/>
      </w:tblGrid>
      <w:tr w:rsidR="00F23E30" w14:paraId="49BED424" w14:textId="77777777" w:rsidTr="00CB6EDC">
        <w:trPr>
          <w:trHeight w:val="503"/>
        </w:trPr>
        <w:tc>
          <w:tcPr>
            <w:tcW w:w="1157" w:type="pct"/>
            <w:vMerge w:val="restart"/>
            <w:shd w:val="clear" w:color="auto" w:fill="B6DDE8"/>
          </w:tcPr>
          <w:p w14:paraId="52EEE011" w14:textId="77777777" w:rsidR="00F23E30" w:rsidRPr="00F264A8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3116DE71" w14:textId="77777777" w:rsidR="00F23E30" w:rsidRPr="00F264A8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55606EF7" w14:textId="77777777" w:rsidR="00F23E30" w:rsidRPr="00F264A8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6F8DD25E" w14:textId="77777777" w:rsidR="00F23E30" w:rsidRPr="00F264A8" w:rsidRDefault="00F23E30">
            <w:pPr>
              <w:pStyle w:val="TableParagraph"/>
              <w:spacing w:before="11"/>
              <w:rPr>
                <w:b/>
                <w:sz w:val="24"/>
                <w:lang w:val="it-IT"/>
              </w:rPr>
            </w:pPr>
          </w:p>
          <w:p w14:paraId="2ECC5BC8" w14:textId="77777777" w:rsidR="00F23E30" w:rsidRPr="00F63586" w:rsidRDefault="00F23E30">
            <w:pPr>
              <w:pStyle w:val="TableParagraph"/>
              <w:ind w:left="71" w:right="137"/>
              <w:rPr>
                <w:b/>
                <w:sz w:val="18"/>
                <w:lang w:val="it-IT"/>
              </w:rPr>
            </w:pPr>
            <w:r w:rsidRPr="00F63586">
              <w:rPr>
                <w:b/>
                <w:sz w:val="18"/>
                <w:lang w:val="it-IT"/>
              </w:rPr>
              <w:t>IMPEGNO/CONDIZIONI AMMISSIBILITA'/CRITERI DI SELEZIONE</w:t>
            </w:r>
          </w:p>
        </w:tc>
        <w:tc>
          <w:tcPr>
            <w:tcW w:w="483" w:type="pct"/>
            <w:vMerge w:val="restart"/>
            <w:shd w:val="clear" w:color="auto" w:fill="B6DDE8"/>
          </w:tcPr>
          <w:p w14:paraId="70E9D667" w14:textId="77777777" w:rsidR="00F23E30" w:rsidRPr="00F63586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55D329F3" w14:textId="77777777" w:rsidR="00F23E30" w:rsidRPr="00F63586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20FD24EC" w14:textId="77777777" w:rsidR="00F23E30" w:rsidRPr="00F63586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2A7E3CD0" w14:textId="77777777" w:rsidR="00F23E30" w:rsidRPr="00F63586" w:rsidRDefault="00F23E30">
            <w:pPr>
              <w:pStyle w:val="TableParagraph"/>
              <w:spacing w:before="11"/>
              <w:rPr>
                <w:b/>
                <w:sz w:val="15"/>
                <w:lang w:val="it-IT"/>
              </w:rPr>
            </w:pPr>
          </w:p>
          <w:p w14:paraId="47EFD18D" w14:textId="77777777" w:rsidR="00F23E30" w:rsidRDefault="00F23E30">
            <w:pPr>
              <w:pStyle w:val="TableParagraph"/>
              <w:ind w:left="69" w:right="65"/>
              <w:rPr>
                <w:b/>
                <w:sz w:val="18"/>
              </w:rPr>
            </w:pPr>
            <w:r>
              <w:rPr>
                <w:b/>
                <w:sz w:val="18"/>
              </w:rPr>
              <w:t>TIPOLOGIA RISCHIO CODICE UE</w:t>
            </w:r>
          </w:p>
        </w:tc>
        <w:tc>
          <w:tcPr>
            <w:tcW w:w="751" w:type="pct"/>
            <w:tcBorders>
              <w:bottom w:val="nil"/>
            </w:tcBorders>
            <w:shd w:val="clear" w:color="auto" w:fill="B6DDE8"/>
          </w:tcPr>
          <w:p w14:paraId="5646EDD5" w14:textId="77777777" w:rsidR="00F23E30" w:rsidRDefault="00F23E30">
            <w:pPr>
              <w:pStyle w:val="TableParagraph"/>
              <w:spacing w:before="20"/>
              <w:ind w:left="71" w:right="508"/>
              <w:rPr>
                <w:b/>
                <w:sz w:val="18"/>
              </w:rPr>
            </w:pPr>
            <w:r>
              <w:rPr>
                <w:b/>
                <w:sz w:val="18"/>
              </w:rPr>
              <w:t>TIPOLOGIA CONTROLLO</w:t>
            </w:r>
          </w:p>
        </w:tc>
        <w:tc>
          <w:tcPr>
            <w:tcW w:w="688" w:type="pct"/>
            <w:tcBorders>
              <w:bottom w:val="nil"/>
            </w:tcBorders>
            <w:shd w:val="clear" w:color="auto" w:fill="B6DDE8"/>
          </w:tcPr>
          <w:p w14:paraId="7A1ED586" w14:textId="77777777" w:rsidR="00F23E30" w:rsidRDefault="00F23E30">
            <w:pPr>
              <w:pStyle w:val="TableParagraph"/>
              <w:spacing w:before="20"/>
              <w:ind w:left="71" w:right="380"/>
              <w:rPr>
                <w:b/>
                <w:sz w:val="18"/>
              </w:rPr>
            </w:pPr>
            <w:r>
              <w:rPr>
                <w:b/>
                <w:sz w:val="18"/>
              </w:rPr>
              <w:t>MODALITA' DI CONTROLLO</w:t>
            </w:r>
          </w:p>
        </w:tc>
        <w:tc>
          <w:tcPr>
            <w:tcW w:w="803" w:type="pct"/>
            <w:tcBorders>
              <w:bottom w:val="nil"/>
            </w:tcBorders>
            <w:shd w:val="clear" w:color="auto" w:fill="B6DDE8"/>
          </w:tcPr>
          <w:p w14:paraId="0BF26B05" w14:textId="77777777" w:rsidR="00F23E30" w:rsidRDefault="00F23E30">
            <w:pPr>
              <w:pStyle w:val="TableParagraph"/>
              <w:spacing w:before="13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TEMPISTICA CONTROLLO</w:t>
            </w:r>
          </w:p>
        </w:tc>
        <w:tc>
          <w:tcPr>
            <w:tcW w:w="1118" w:type="pct"/>
            <w:vMerge w:val="restart"/>
            <w:shd w:val="clear" w:color="auto" w:fill="B6DDE8"/>
          </w:tcPr>
          <w:p w14:paraId="6E0063AC" w14:textId="77777777" w:rsidR="00F23E30" w:rsidRPr="00F63586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1FFCBAEB" w14:textId="77777777" w:rsidR="00F23E30" w:rsidRPr="00F63586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3D9B7F8B" w14:textId="77777777" w:rsidR="00F23E30" w:rsidRPr="00F63586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1178DDDA" w14:textId="77777777" w:rsidR="00F23E30" w:rsidRPr="00F63586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64E3AC51" w14:textId="77777777" w:rsidR="00F23E30" w:rsidRPr="00F63586" w:rsidRDefault="00F23E30">
            <w:pPr>
              <w:pStyle w:val="TableParagraph"/>
              <w:spacing w:before="12"/>
              <w:rPr>
                <w:b/>
                <w:sz w:val="15"/>
                <w:lang w:val="it-IT"/>
              </w:rPr>
            </w:pPr>
          </w:p>
          <w:p w14:paraId="0D567B24" w14:textId="77777777" w:rsidR="00F23E30" w:rsidRPr="00F63586" w:rsidRDefault="00F23E30">
            <w:pPr>
              <w:pStyle w:val="TableParagraph"/>
              <w:ind w:left="69"/>
              <w:rPr>
                <w:b/>
                <w:sz w:val="18"/>
                <w:lang w:val="it-IT"/>
              </w:rPr>
            </w:pPr>
            <w:r w:rsidRPr="00F63586">
              <w:rPr>
                <w:b/>
                <w:sz w:val="18"/>
                <w:lang w:val="it-IT"/>
              </w:rPr>
              <w:t>ELEMENTI E MODALITA' DI CONTROLLO</w:t>
            </w:r>
          </w:p>
        </w:tc>
      </w:tr>
      <w:tr w:rsidR="00F23E30" w14:paraId="334A967E" w14:textId="77777777" w:rsidTr="00CB6EDC">
        <w:trPr>
          <w:trHeight w:val="705"/>
        </w:trPr>
        <w:tc>
          <w:tcPr>
            <w:tcW w:w="1157" w:type="pct"/>
            <w:vMerge/>
            <w:tcBorders>
              <w:top w:val="nil"/>
            </w:tcBorders>
            <w:shd w:val="clear" w:color="auto" w:fill="B6DDE8"/>
          </w:tcPr>
          <w:p w14:paraId="38DD4E88" w14:textId="77777777" w:rsidR="00F23E30" w:rsidRPr="00F63586" w:rsidRDefault="00F23E30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483" w:type="pct"/>
            <w:vMerge/>
            <w:tcBorders>
              <w:top w:val="nil"/>
            </w:tcBorders>
            <w:shd w:val="clear" w:color="auto" w:fill="B6DDE8"/>
          </w:tcPr>
          <w:p w14:paraId="1D1A8F00" w14:textId="77777777" w:rsidR="00F23E30" w:rsidRPr="00F63586" w:rsidRDefault="00F23E30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751" w:type="pct"/>
            <w:tcBorders>
              <w:top w:val="nil"/>
              <w:bottom w:val="nil"/>
            </w:tcBorders>
            <w:shd w:val="clear" w:color="auto" w:fill="B6DDE8"/>
          </w:tcPr>
          <w:p w14:paraId="1EECB371" w14:textId="77777777" w:rsidR="00F23E30" w:rsidRDefault="00F23E30">
            <w:pPr>
              <w:pStyle w:val="TableParagraph"/>
              <w:spacing w:before="119"/>
              <w:ind w:left="71" w:right="41"/>
              <w:rPr>
                <w:b/>
                <w:sz w:val="18"/>
              </w:rPr>
            </w:pPr>
            <w:r>
              <w:rPr>
                <w:b/>
                <w:sz w:val="18"/>
              </w:rPr>
              <w:t>AM = AMMINISTRATIVO</w:t>
            </w: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B6DDE8"/>
          </w:tcPr>
          <w:p w14:paraId="79ACB19E" w14:textId="77777777" w:rsidR="00F23E30" w:rsidRDefault="00F23E30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126E3BF" w14:textId="77777777" w:rsidR="00F23E30" w:rsidRDefault="00F23E30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I = INFORMATICO</w:t>
            </w:r>
          </w:p>
        </w:tc>
        <w:tc>
          <w:tcPr>
            <w:tcW w:w="803" w:type="pct"/>
            <w:tcBorders>
              <w:top w:val="nil"/>
              <w:bottom w:val="nil"/>
            </w:tcBorders>
            <w:shd w:val="clear" w:color="auto" w:fill="B6DDE8"/>
          </w:tcPr>
          <w:p w14:paraId="7BFBFF35" w14:textId="77777777" w:rsidR="00F23E30" w:rsidRPr="00F63586" w:rsidRDefault="00F23E30">
            <w:pPr>
              <w:pStyle w:val="TableParagraph"/>
              <w:spacing w:before="9"/>
              <w:ind w:left="71" w:right="613"/>
              <w:jc w:val="both"/>
              <w:rPr>
                <w:b/>
                <w:sz w:val="18"/>
                <w:lang w:val="it-IT"/>
              </w:rPr>
            </w:pPr>
            <w:r w:rsidRPr="00F63586">
              <w:rPr>
                <w:b/>
                <w:sz w:val="18"/>
                <w:lang w:val="it-IT"/>
              </w:rPr>
              <w:t>DA = CONTROLLO POSSIBILE TUTTO L'ANNO</w:t>
            </w:r>
          </w:p>
        </w:tc>
        <w:tc>
          <w:tcPr>
            <w:tcW w:w="1118" w:type="pct"/>
            <w:vMerge/>
            <w:tcBorders>
              <w:top w:val="nil"/>
            </w:tcBorders>
            <w:shd w:val="clear" w:color="auto" w:fill="B6DDE8"/>
          </w:tcPr>
          <w:p w14:paraId="0D7A98F5" w14:textId="77777777" w:rsidR="00F23E30" w:rsidRPr="00F63586" w:rsidRDefault="00F23E30">
            <w:pPr>
              <w:rPr>
                <w:sz w:val="2"/>
                <w:szCs w:val="2"/>
                <w:lang w:val="it-IT"/>
              </w:rPr>
            </w:pPr>
          </w:p>
        </w:tc>
      </w:tr>
      <w:tr w:rsidR="00F23E30" w14:paraId="4B03732D" w14:textId="77777777" w:rsidTr="00CB6EDC">
        <w:trPr>
          <w:trHeight w:val="1116"/>
        </w:trPr>
        <w:tc>
          <w:tcPr>
            <w:tcW w:w="1157" w:type="pct"/>
            <w:vMerge/>
            <w:tcBorders>
              <w:top w:val="nil"/>
            </w:tcBorders>
            <w:shd w:val="clear" w:color="auto" w:fill="B6DDE8"/>
          </w:tcPr>
          <w:p w14:paraId="4F7C2F0C" w14:textId="77777777" w:rsidR="00F23E30" w:rsidRPr="00F63586" w:rsidRDefault="00F23E30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483" w:type="pct"/>
            <w:vMerge/>
            <w:tcBorders>
              <w:top w:val="nil"/>
            </w:tcBorders>
            <w:shd w:val="clear" w:color="auto" w:fill="B6DDE8"/>
          </w:tcPr>
          <w:p w14:paraId="6A25BFF1" w14:textId="77777777" w:rsidR="00F23E30" w:rsidRPr="00F63586" w:rsidRDefault="00F23E30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751" w:type="pct"/>
            <w:tcBorders>
              <w:top w:val="nil"/>
            </w:tcBorders>
            <w:shd w:val="clear" w:color="auto" w:fill="B6DDE8"/>
          </w:tcPr>
          <w:p w14:paraId="45415F8F" w14:textId="77777777" w:rsidR="00F23E30" w:rsidRPr="00F63586" w:rsidRDefault="00F23E30">
            <w:pPr>
              <w:pStyle w:val="TableParagraph"/>
              <w:rPr>
                <w:b/>
                <w:sz w:val="18"/>
                <w:lang w:val="it-IT"/>
              </w:rPr>
            </w:pPr>
          </w:p>
          <w:p w14:paraId="77FBD713" w14:textId="77777777" w:rsidR="00F23E30" w:rsidRPr="00F63586" w:rsidRDefault="00F23E30">
            <w:pPr>
              <w:pStyle w:val="TableParagraph"/>
              <w:spacing w:before="4"/>
              <w:rPr>
                <w:b/>
                <w:sz w:val="18"/>
                <w:lang w:val="it-IT"/>
              </w:rPr>
            </w:pPr>
          </w:p>
          <w:p w14:paraId="1376E3D9" w14:textId="77777777" w:rsidR="00F23E30" w:rsidRDefault="00F23E30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AZ = AZIENDALE</w:t>
            </w:r>
          </w:p>
        </w:tc>
        <w:tc>
          <w:tcPr>
            <w:tcW w:w="688" w:type="pct"/>
            <w:tcBorders>
              <w:top w:val="nil"/>
            </w:tcBorders>
            <w:shd w:val="clear" w:color="auto" w:fill="B6DDE8"/>
          </w:tcPr>
          <w:p w14:paraId="530FBDB1" w14:textId="77777777" w:rsidR="00F23E30" w:rsidRDefault="00F23E30">
            <w:pPr>
              <w:pStyle w:val="TableParagraph"/>
              <w:rPr>
                <w:b/>
                <w:sz w:val="18"/>
              </w:rPr>
            </w:pPr>
          </w:p>
          <w:p w14:paraId="1DED228B" w14:textId="77777777" w:rsidR="00F23E30" w:rsidRDefault="00F23E30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2D52EFE9" w14:textId="77777777" w:rsidR="00F23E30" w:rsidRDefault="00F23E30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M = MANUALE</w:t>
            </w:r>
          </w:p>
        </w:tc>
        <w:tc>
          <w:tcPr>
            <w:tcW w:w="803" w:type="pct"/>
            <w:tcBorders>
              <w:top w:val="nil"/>
            </w:tcBorders>
            <w:shd w:val="clear" w:color="auto" w:fill="B6DDE8"/>
          </w:tcPr>
          <w:p w14:paraId="61CA8713" w14:textId="77777777" w:rsidR="00F23E30" w:rsidRPr="00F63586" w:rsidRDefault="00F23E30">
            <w:pPr>
              <w:pStyle w:val="TableParagraph"/>
              <w:spacing w:before="115"/>
              <w:ind w:left="71" w:right="344"/>
              <w:rPr>
                <w:b/>
                <w:sz w:val="18"/>
                <w:lang w:val="it-IT"/>
              </w:rPr>
            </w:pPr>
            <w:r w:rsidRPr="00F63586">
              <w:rPr>
                <w:b/>
                <w:sz w:val="18"/>
                <w:lang w:val="it-IT"/>
              </w:rPr>
              <w:t>DP = CONTROLLO DA EFFETTUARSI ENTRO UNA DATA PRESTABILITA</w:t>
            </w:r>
          </w:p>
        </w:tc>
        <w:tc>
          <w:tcPr>
            <w:tcW w:w="1118" w:type="pct"/>
            <w:vMerge/>
            <w:tcBorders>
              <w:top w:val="nil"/>
            </w:tcBorders>
            <w:shd w:val="clear" w:color="auto" w:fill="B6DDE8"/>
          </w:tcPr>
          <w:p w14:paraId="31ACBE0B" w14:textId="77777777" w:rsidR="00F23E30" w:rsidRPr="00F63586" w:rsidRDefault="00F23E30">
            <w:pPr>
              <w:rPr>
                <w:sz w:val="2"/>
                <w:szCs w:val="2"/>
                <w:lang w:val="it-IT"/>
              </w:rPr>
            </w:pPr>
          </w:p>
        </w:tc>
      </w:tr>
      <w:tr w:rsidR="00F23E30" w:rsidRPr="00CB6EDC" w14:paraId="7D06E9B8" w14:textId="77777777" w:rsidTr="00CB6EDC">
        <w:trPr>
          <w:trHeight w:val="3251"/>
        </w:trPr>
        <w:tc>
          <w:tcPr>
            <w:tcW w:w="1157" w:type="pct"/>
          </w:tcPr>
          <w:p w14:paraId="53C1B063" w14:textId="77777777" w:rsidR="00CB6EDC" w:rsidRPr="006E14AC" w:rsidRDefault="00CB6EDC" w:rsidP="00CB6E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djustRightInd w:val="0"/>
              <w:jc w:val="both"/>
              <w:rPr>
                <w:rFonts w:cstheme="minorHAnsi"/>
                <w:color w:val="FF0000"/>
                <w:sz w:val="18"/>
                <w:szCs w:val="18"/>
                <w:lang w:val="it-IT"/>
              </w:rPr>
            </w:pPr>
            <w:r w:rsidRPr="006E14AC">
              <w:rPr>
                <w:rFonts w:cstheme="minorHAnsi"/>
                <w:sz w:val="18"/>
                <w:szCs w:val="18"/>
                <w:lang w:val="it-IT"/>
              </w:rPr>
              <w:t xml:space="preserve">Partenariati pubblico/privati che presentano una strategia di sviluppo locale </w:t>
            </w:r>
            <w:r w:rsidRPr="006E14AC">
              <w:rPr>
                <w:rFonts w:cstheme="minorHAnsi"/>
                <w:b/>
                <w:bCs/>
                <w:sz w:val="18"/>
                <w:szCs w:val="18"/>
                <w:highlight w:val="green"/>
                <w:lang w:val="it-IT"/>
              </w:rPr>
              <w:t>per il periodo di programmazione 2014-2022;</w:t>
            </w:r>
          </w:p>
          <w:p w14:paraId="4898AB1E" w14:textId="77777777" w:rsidR="00CB6EDC" w:rsidRPr="006E14AC" w:rsidRDefault="00CB6EDC" w:rsidP="00CB6E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djustRightInd w:val="0"/>
              <w:jc w:val="both"/>
              <w:rPr>
                <w:rFonts w:cstheme="minorHAnsi"/>
                <w:color w:val="FF0000"/>
                <w:sz w:val="18"/>
                <w:szCs w:val="18"/>
                <w:lang w:val="it-IT"/>
              </w:rPr>
            </w:pPr>
          </w:p>
          <w:p w14:paraId="23E97FFB" w14:textId="77777777" w:rsidR="00CB6EDC" w:rsidRPr="006E14AC" w:rsidRDefault="00CB6EDC" w:rsidP="00CB6E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6E14AC">
              <w:rPr>
                <w:rFonts w:cstheme="minorHAnsi"/>
                <w:b/>
                <w:bCs/>
                <w:sz w:val="18"/>
                <w:szCs w:val="18"/>
                <w:highlight w:val="green"/>
                <w:lang w:val="it-IT"/>
              </w:rPr>
              <w:t>Partenariati pubblico/privati che presentano una strategia di sviluppo locale per il periodo di programmazione 2023-2027, ovvero:</w:t>
            </w:r>
          </w:p>
          <w:p w14:paraId="4FDF911B" w14:textId="77777777" w:rsidR="00CB6EDC" w:rsidRPr="006E14AC" w:rsidRDefault="00CB6EDC" w:rsidP="00CB6E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djustRightInd w:val="0"/>
              <w:jc w:val="both"/>
              <w:rPr>
                <w:rFonts w:cstheme="minorHAnsi"/>
                <w:b/>
                <w:bCs/>
                <w:color w:val="FF0000"/>
                <w:sz w:val="18"/>
                <w:szCs w:val="18"/>
                <w:lang w:val="it-IT"/>
              </w:rPr>
            </w:pPr>
          </w:p>
          <w:p w14:paraId="4ECE993E" w14:textId="77777777" w:rsidR="00CB6EDC" w:rsidRPr="006E14AC" w:rsidRDefault="00CB6EDC" w:rsidP="00CB6EDC">
            <w:pPr>
              <w:pStyle w:val="Paragrafoelenco"/>
              <w:numPr>
                <w:ilvl w:val="0"/>
                <w:numId w:val="9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  <w:highlight w:val="green"/>
                <w:lang w:val="it-IT"/>
              </w:rPr>
            </w:pPr>
            <w:r w:rsidRPr="006E14AC">
              <w:rPr>
                <w:rFonts w:cstheme="minorHAnsi"/>
                <w:b/>
                <w:bCs/>
                <w:sz w:val="18"/>
                <w:szCs w:val="18"/>
                <w:highlight w:val="green"/>
                <w:lang w:val="it-IT"/>
              </w:rPr>
              <w:t>GAL operanti nel precedente periodo di programmazione 2014-2022;</w:t>
            </w:r>
          </w:p>
          <w:p w14:paraId="66D9B098" w14:textId="77777777" w:rsidR="00CB6EDC" w:rsidRPr="006E14AC" w:rsidRDefault="00CB6EDC" w:rsidP="00CB6EDC">
            <w:pPr>
              <w:pStyle w:val="Paragrafoelenco"/>
              <w:numPr>
                <w:ilvl w:val="0"/>
                <w:numId w:val="9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  <w:highlight w:val="green"/>
                <w:lang w:val="it-IT"/>
              </w:rPr>
            </w:pPr>
            <w:r w:rsidRPr="006E14AC">
              <w:rPr>
                <w:rFonts w:cstheme="minorHAnsi"/>
                <w:b/>
                <w:bCs/>
                <w:sz w:val="18"/>
                <w:szCs w:val="18"/>
                <w:highlight w:val="green"/>
                <w:lang w:val="it-IT"/>
              </w:rPr>
              <w:t>Partenariati composti da soggetti pubblici e privati che scelgano al loro interno un partner capofila per le questioni amministrative e finanziarie oppure si riuniscano in una struttura comune legalmente costituita;</w:t>
            </w:r>
          </w:p>
          <w:p w14:paraId="4D03414F" w14:textId="77777777" w:rsidR="00F23E30" w:rsidRPr="006E14AC" w:rsidRDefault="00CB6EDC" w:rsidP="00CB6EDC">
            <w:pPr>
              <w:pStyle w:val="Paragrafoelenco"/>
              <w:numPr>
                <w:ilvl w:val="0"/>
                <w:numId w:val="9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  <w:highlight w:val="green"/>
                <w:lang w:val="it-IT"/>
              </w:rPr>
            </w:pPr>
            <w:r w:rsidRPr="006E14AC">
              <w:rPr>
                <w:rFonts w:cstheme="minorHAnsi"/>
                <w:b/>
                <w:bCs/>
                <w:sz w:val="18"/>
                <w:szCs w:val="18"/>
                <w:highlight w:val="green"/>
                <w:lang w:val="it-IT"/>
              </w:rPr>
              <w:t>Nuovi partenariati costituendi, composti da soggetti pubblici e privati che scelgano al loro interno un partner capofila per le questioni amministrative e finanziarie oppure si riuniscano in una struttura comune legalmente costituita.</w:t>
            </w:r>
          </w:p>
          <w:p w14:paraId="5338FC5A" w14:textId="56C13461" w:rsidR="00CB6EDC" w:rsidRPr="006E14AC" w:rsidRDefault="00CB6EDC" w:rsidP="00CB6E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djustRightInd w:val="0"/>
              <w:jc w:val="both"/>
              <w:rPr>
                <w:rFonts w:cstheme="minorHAnsi"/>
                <w:color w:val="FF0000"/>
                <w:sz w:val="18"/>
                <w:szCs w:val="18"/>
                <w:lang w:val="it-IT"/>
              </w:rPr>
            </w:pPr>
          </w:p>
        </w:tc>
        <w:tc>
          <w:tcPr>
            <w:tcW w:w="483" w:type="pct"/>
          </w:tcPr>
          <w:p w14:paraId="4C35DBCA" w14:textId="77777777" w:rsidR="00F23E30" w:rsidRPr="00CB6EDC" w:rsidRDefault="00F23E30">
            <w:pPr>
              <w:pStyle w:val="TableParagraph"/>
              <w:spacing w:before="109"/>
              <w:ind w:left="69"/>
              <w:rPr>
                <w:rFonts w:asciiTheme="minorHAnsi" w:hAnsiTheme="minorHAnsi" w:cstheme="minorHAnsi"/>
                <w:sz w:val="18"/>
                <w:szCs w:val="18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</w:rPr>
              <w:t>R7</w:t>
            </w:r>
          </w:p>
        </w:tc>
        <w:tc>
          <w:tcPr>
            <w:tcW w:w="751" w:type="pct"/>
          </w:tcPr>
          <w:p w14:paraId="493DBF15" w14:textId="77777777" w:rsidR="00F23E30" w:rsidRPr="00CB6EDC" w:rsidRDefault="00F23E30">
            <w:pPr>
              <w:pStyle w:val="TableParagraph"/>
              <w:spacing w:before="109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</w:rPr>
              <w:t>AM</w:t>
            </w:r>
          </w:p>
        </w:tc>
        <w:tc>
          <w:tcPr>
            <w:tcW w:w="688" w:type="pct"/>
          </w:tcPr>
          <w:p w14:paraId="60D85547" w14:textId="77777777" w:rsidR="00F23E30" w:rsidRPr="00CB6EDC" w:rsidRDefault="00F23E30">
            <w:pPr>
              <w:pStyle w:val="TableParagraph"/>
              <w:spacing w:before="109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</w:rPr>
              <w:t>M</w:t>
            </w:r>
          </w:p>
        </w:tc>
        <w:tc>
          <w:tcPr>
            <w:tcW w:w="803" w:type="pct"/>
          </w:tcPr>
          <w:p w14:paraId="664C7E06" w14:textId="77777777" w:rsidR="00F23E30" w:rsidRPr="00CB6EDC" w:rsidRDefault="00F23E30">
            <w:pPr>
              <w:pStyle w:val="TableParagraph"/>
              <w:spacing w:before="109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</w:rPr>
              <w:t>DA, DP</w:t>
            </w:r>
          </w:p>
        </w:tc>
        <w:tc>
          <w:tcPr>
            <w:tcW w:w="1118" w:type="pct"/>
          </w:tcPr>
          <w:p w14:paraId="1F8BA857" w14:textId="77777777" w:rsidR="00F23E30" w:rsidRPr="00CB6EDC" w:rsidRDefault="00F23E30">
            <w:pPr>
              <w:pStyle w:val="TableParagraph"/>
              <w:spacing w:before="1" w:line="219" w:lineRule="exact"/>
              <w:ind w:left="69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Verifica che i beneficiari abbiano presentato un PSL ritenuto ammissibile</w:t>
            </w:r>
          </w:p>
          <w:p w14:paraId="4BC5C442" w14:textId="77777777" w:rsidR="00F23E30" w:rsidRPr="00CB6EDC" w:rsidRDefault="00F23E30">
            <w:pPr>
              <w:pStyle w:val="TableParagraph"/>
              <w:spacing w:line="201" w:lineRule="exact"/>
              <w:ind w:left="69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</w:tr>
      <w:tr w:rsidR="00CB6EDC" w:rsidRPr="00CB6EDC" w14:paraId="2B00BDA9" w14:textId="77777777" w:rsidTr="00CB6EDC">
        <w:trPr>
          <w:trHeight w:val="9241"/>
        </w:trPr>
        <w:tc>
          <w:tcPr>
            <w:tcW w:w="1157" w:type="pct"/>
          </w:tcPr>
          <w:p w14:paraId="48E6A325" w14:textId="602DAD75" w:rsidR="00CB6EDC" w:rsidRPr="00CB6EDC" w:rsidRDefault="00CB6EDC" w:rsidP="00CB6EDC">
            <w:pPr>
              <w:pStyle w:val="TableParagraph"/>
              <w:spacing w:before="1" w:line="215" w:lineRule="exact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E14AC"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  <w:lastRenderedPageBreak/>
              <w:t>Per i partenariati pubblico/privati che presentano una strategia di sviluppo locale per il periodo di programmazione 2014-2022</w:t>
            </w:r>
            <w:r w:rsidRPr="006E14AC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6E14AC">
              <w:rPr>
                <w:rFonts w:asciiTheme="minorHAnsi" w:hAnsiTheme="minorHAnsi" w:cstheme="minorHAnsi"/>
                <w:sz w:val="18"/>
                <w:szCs w:val="18"/>
                <w:highlight w:val="green"/>
                <w:lang w:val="it-IT"/>
              </w:rPr>
              <w:t>s</w:t>
            </w:r>
            <w:r w:rsidR="006E14AC" w:rsidRPr="006E14AC">
              <w:rPr>
                <w:rFonts w:asciiTheme="minorHAnsi" w:hAnsiTheme="minorHAnsi" w:cstheme="minorHAnsi"/>
                <w:b/>
                <w:bCs/>
                <w:strike/>
                <w:color w:val="FF0000"/>
                <w:sz w:val="18"/>
                <w:szCs w:val="18"/>
                <w:lang w:val="it-IT"/>
              </w:rPr>
              <w:t>S</w:t>
            </w:r>
            <w:r w:rsidRPr="006E14AC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ono</w:t>
            </w:r>
            <w:proofErr w:type="spellEnd"/>
            <w:r w:rsidRPr="006E14AC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considerate ammissibili le seguenti tipologie di spesa:</w:t>
            </w:r>
          </w:p>
          <w:p w14:paraId="530D9D1B" w14:textId="31FB144C" w:rsidR="00CB6EDC" w:rsidRPr="006E14AC" w:rsidRDefault="00CB6EDC" w:rsidP="00CB6EDC">
            <w:pPr>
              <w:pStyle w:val="TableParagraph"/>
              <w:spacing w:before="1" w:line="220" w:lineRule="atLeast"/>
              <w:ind w:right="607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6E14AC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studi del territorio interessato, compresi studi di fattibilità, ai fini della progettazione della strategia;</w:t>
            </w:r>
          </w:p>
          <w:p w14:paraId="104151E4" w14:textId="77777777" w:rsidR="00B61ED7" w:rsidRPr="00B61ED7" w:rsidRDefault="00B61ED7" w:rsidP="00B61ED7">
            <w:pPr>
              <w:pStyle w:val="TableParagraph"/>
              <w:numPr>
                <w:ilvl w:val="0"/>
                <w:numId w:val="18"/>
              </w:numPr>
              <w:tabs>
                <w:tab w:val="left" w:pos="407"/>
                <w:tab w:val="left" w:pos="408"/>
              </w:tabs>
              <w:spacing w:line="202" w:lineRule="exact"/>
              <w:ind w:hanging="337"/>
              <w:rPr>
                <w:sz w:val="18"/>
                <w:lang w:val="it-IT"/>
              </w:rPr>
            </w:pPr>
            <w:r w:rsidRPr="00B61ED7">
              <w:rPr>
                <w:sz w:val="18"/>
                <w:lang w:val="it-IT"/>
              </w:rPr>
              <w:t>costi relativi al coordinamento e</w:t>
            </w:r>
            <w:r w:rsidRPr="00B61ED7">
              <w:rPr>
                <w:spacing w:val="-5"/>
                <w:sz w:val="18"/>
                <w:lang w:val="it-IT"/>
              </w:rPr>
              <w:t xml:space="preserve"> </w:t>
            </w:r>
            <w:r w:rsidRPr="00B61ED7">
              <w:rPr>
                <w:sz w:val="18"/>
                <w:lang w:val="it-IT"/>
              </w:rPr>
              <w:t>alla</w:t>
            </w:r>
          </w:p>
          <w:p w14:paraId="0F2A853B" w14:textId="719A4B98" w:rsidR="00B61ED7" w:rsidRDefault="00B61ED7" w:rsidP="00B61ED7">
            <w:pPr>
              <w:pStyle w:val="TableParagraph"/>
              <w:numPr>
                <w:ilvl w:val="0"/>
                <w:numId w:val="25"/>
              </w:numPr>
              <w:tabs>
                <w:tab w:val="left" w:pos="400"/>
                <w:tab w:val="left" w:pos="401"/>
              </w:tabs>
              <w:spacing w:before="2"/>
              <w:ind w:right="495" w:firstLine="0"/>
              <w:rPr>
                <w:sz w:val="18"/>
                <w:lang w:val="it-IT"/>
              </w:rPr>
            </w:pPr>
            <w:r w:rsidRPr="00B61ED7">
              <w:rPr>
                <w:sz w:val="18"/>
                <w:lang w:val="it-IT"/>
              </w:rPr>
              <w:t xml:space="preserve">progettazione, ai </w:t>
            </w:r>
            <w:r w:rsidR="00957045">
              <w:rPr>
                <w:sz w:val="18"/>
                <w:lang w:val="it-IT"/>
              </w:rPr>
              <w:t xml:space="preserve"> f</w:t>
            </w:r>
            <w:r w:rsidRPr="00B61ED7">
              <w:rPr>
                <w:sz w:val="18"/>
                <w:lang w:val="it-IT"/>
              </w:rPr>
              <w:t>ini della preparazione</w:t>
            </w:r>
            <w:r w:rsidR="00957045">
              <w:rPr>
                <w:sz w:val="18"/>
                <w:lang w:val="it-IT"/>
              </w:rPr>
              <w:t xml:space="preserve"> </w:t>
            </w:r>
            <w:r w:rsidRPr="00B61ED7">
              <w:rPr>
                <w:sz w:val="18"/>
                <w:lang w:val="it-IT"/>
              </w:rPr>
              <w:t>della strategia,</w:t>
            </w:r>
            <w:r w:rsidR="00957045">
              <w:rPr>
                <w:sz w:val="18"/>
                <w:lang w:val="it-IT"/>
              </w:rPr>
              <w:t xml:space="preserve"> </w:t>
            </w:r>
            <w:r w:rsidRPr="00B61ED7">
              <w:rPr>
                <w:sz w:val="18"/>
                <w:lang w:val="it-IT"/>
              </w:rPr>
              <w:t>comprese le spese di</w:t>
            </w:r>
            <w:r w:rsidR="00957045">
              <w:rPr>
                <w:sz w:val="18"/>
                <w:lang w:val="it-IT"/>
              </w:rPr>
              <w:t xml:space="preserve"> c</w:t>
            </w:r>
            <w:r w:rsidRPr="00B61ED7">
              <w:rPr>
                <w:sz w:val="18"/>
                <w:lang w:val="it-IT"/>
              </w:rPr>
              <w:t xml:space="preserve">onsulenza e i costi relativi alle </w:t>
            </w:r>
            <w:r w:rsidR="00957045">
              <w:rPr>
                <w:sz w:val="18"/>
                <w:lang w:val="it-IT"/>
              </w:rPr>
              <w:t>c</w:t>
            </w:r>
            <w:r w:rsidRPr="00B61ED7">
              <w:rPr>
                <w:sz w:val="18"/>
                <w:lang w:val="it-IT"/>
              </w:rPr>
              <w:t xml:space="preserve">onsultazioni dei soggetti interessati. </w:t>
            </w:r>
          </w:p>
          <w:p w14:paraId="0F0E017F" w14:textId="6D45DF0E" w:rsidR="00B61ED7" w:rsidRPr="00B61ED7" w:rsidRDefault="00B61ED7" w:rsidP="00B61ED7">
            <w:pPr>
              <w:pStyle w:val="TableParagraph"/>
              <w:numPr>
                <w:ilvl w:val="0"/>
                <w:numId w:val="25"/>
              </w:numPr>
              <w:tabs>
                <w:tab w:val="left" w:pos="400"/>
                <w:tab w:val="left" w:pos="401"/>
              </w:tabs>
              <w:spacing w:before="2"/>
              <w:ind w:right="495" w:firstLine="0"/>
              <w:rPr>
                <w:sz w:val="18"/>
                <w:lang w:val="it-IT"/>
              </w:rPr>
            </w:pPr>
            <w:r>
              <w:rPr>
                <w:sz w:val="18"/>
                <w:lang w:val="it-IT"/>
              </w:rPr>
              <w:t>C</w:t>
            </w:r>
            <w:r w:rsidRPr="00B61ED7">
              <w:rPr>
                <w:sz w:val="18"/>
                <w:lang w:val="it-IT"/>
              </w:rPr>
              <w:t>osti amministrativi (costi operativi e</w:t>
            </w:r>
            <w:r w:rsidRPr="00B61ED7">
              <w:rPr>
                <w:spacing w:val="-14"/>
                <w:sz w:val="18"/>
                <w:lang w:val="it-IT"/>
              </w:rPr>
              <w:t xml:space="preserve"> </w:t>
            </w:r>
            <w:r w:rsidRPr="00B61ED7">
              <w:rPr>
                <w:sz w:val="18"/>
                <w:lang w:val="it-IT"/>
              </w:rPr>
              <w:t>del personale) sostenuti durante la fase</w:t>
            </w:r>
            <w:r w:rsidRPr="00B61ED7">
              <w:rPr>
                <w:spacing w:val="-7"/>
                <w:sz w:val="18"/>
                <w:lang w:val="it-IT"/>
              </w:rPr>
              <w:t xml:space="preserve"> </w:t>
            </w:r>
            <w:r w:rsidRPr="00B61ED7">
              <w:rPr>
                <w:sz w:val="18"/>
                <w:lang w:val="it-IT"/>
              </w:rPr>
              <w:t>di</w:t>
            </w:r>
          </w:p>
          <w:p w14:paraId="275C1D69" w14:textId="77777777" w:rsidR="00B61ED7" w:rsidRPr="00031927" w:rsidRDefault="00B61ED7" w:rsidP="00B61ED7">
            <w:pPr>
              <w:pStyle w:val="TableParagraph"/>
              <w:spacing w:line="201" w:lineRule="exact"/>
              <w:ind w:left="71"/>
              <w:rPr>
                <w:sz w:val="18"/>
                <w:lang w:val="it-IT"/>
              </w:rPr>
            </w:pPr>
            <w:r w:rsidRPr="00031927">
              <w:rPr>
                <w:sz w:val="18"/>
                <w:lang w:val="it-IT"/>
              </w:rPr>
              <w:t>preparazione.</w:t>
            </w:r>
          </w:p>
          <w:p w14:paraId="08467251" w14:textId="13E1086F" w:rsidR="00B61ED7" w:rsidRPr="006E14AC" w:rsidRDefault="00B61ED7" w:rsidP="00B61ED7">
            <w:pPr>
              <w:pStyle w:val="TableParagraph"/>
              <w:spacing w:before="1" w:line="220" w:lineRule="atLeast"/>
              <w:ind w:right="607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  <w:p w14:paraId="5E07923D" w14:textId="77777777" w:rsidR="00CB6EDC" w:rsidRPr="006E14AC" w:rsidRDefault="00CB6EDC" w:rsidP="00CB6EDC">
            <w:pPr>
              <w:pStyle w:val="TableParagraph"/>
              <w:spacing w:before="1" w:line="220" w:lineRule="atLeast"/>
              <w:ind w:right="607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</w:p>
          <w:p w14:paraId="2F3F5CC3" w14:textId="77777777" w:rsidR="00CB6EDC" w:rsidRPr="006E14AC" w:rsidRDefault="00CB6EDC" w:rsidP="00CB6EDC">
            <w:pPr>
              <w:pStyle w:val="TableParagraph"/>
              <w:spacing w:before="1" w:line="220" w:lineRule="atLeast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</w:pPr>
            <w:r w:rsidRPr="006E14AC"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  <w:t>Per i partenariati pubblico/privati che presentano una strategia di sviluppo locale per il periodo di programmazione 2023-2027 sono considerate ammissibili le seguenti tipologie di spesa:</w:t>
            </w:r>
          </w:p>
          <w:p w14:paraId="2CD665E1" w14:textId="5F6F4898" w:rsidR="00CB6EDC" w:rsidRPr="006E14AC" w:rsidRDefault="00CB6EDC" w:rsidP="00CB6EDC">
            <w:pPr>
              <w:pStyle w:val="TableParagraph"/>
              <w:numPr>
                <w:ilvl w:val="0"/>
                <w:numId w:val="24"/>
              </w:numPr>
              <w:spacing w:before="1" w:line="220" w:lineRule="atLeast"/>
              <w:ind w:left="406" w:right="20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</w:pPr>
            <w:r w:rsidRPr="006E14AC"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  <w:t>informazione e aggiornamento delle parti interessate;</w:t>
            </w:r>
          </w:p>
          <w:p w14:paraId="380F35B1" w14:textId="77777777" w:rsidR="00CB6EDC" w:rsidRPr="006E14AC" w:rsidRDefault="00CB6EDC" w:rsidP="00CB6EDC">
            <w:pPr>
              <w:pStyle w:val="TableParagraph"/>
              <w:numPr>
                <w:ilvl w:val="0"/>
                <w:numId w:val="24"/>
              </w:numPr>
              <w:spacing w:before="1" w:line="220" w:lineRule="atLeast"/>
              <w:ind w:left="406" w:right="20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</w:pPr>
            <w:r w:rsidRPr="006E14AC"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  <w:t>animazione, comunicazione e diffusione delle informazioni;</w:t>
            </w:r>
          </w:p>
          <w:p w14:paraId="3A8B8FAF" w14:textId="77777777" w:rsidR="00CB6EDC" w:rsidRPr="006E14AC" w:rsidRDefault="00CB6EDC" w:rsidP="00CB6EDC">
            <w:pPr>
              <w:pStyle w:val="TableParagraph"/>
              <w:numPr>
                <w:ilvl w:val="0"/>
                <w:numId w:val="24"/>
              </w:numPr>
              <w:spacing w:before="1" w:line="220" w:lineRule="atLeast"/>
              <w:ind w:left="406" w:right="20"/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</w:pPr>
            <w:r w:rsidRPr="006E14AC"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  <w:t xml:space="preserve">studi relativi alla zona interessata, studi di fattibilità ai fini della preparazione della strategia di sviluppo locale; </w:t>
            </w:r>
          </w:p>
          <w:p w14:paraId="1713F1E3" w14:textId="77777777" w:rsidR="00CB6EDC" w:rsidRPr="006E14AC" w:rsidRDefault="00CB6EDC" w:rsidP="00CB6EDC">
            <w:pPr>
              <w:pStyle w:val="TableParagraph"/>
              <w:numPr>
                <w:ilvl w:val="0"/>
                <w:numId w:val="24"/>
              </w:numPr>
              <w:spacing w:before="1" w:line="220" w:lineRule="atLeast"/>
              <w:ind w:left="406" w:right="20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</w:pPr>
            <w:r w:rsidRPr="006E14AC">
              <w:rPr>
                <w:rFonts w:asciiTheme="minorHAnsi" w:hAnsiTheme="minorHAnsi" w:cstheme="minorHAnsi"/>
                <w:b/>
                <w:bCs/>
                <w:sz w:val="18"/>
                <w:szCs w:val="18"/>
                <w:highlight w:val="green"/>
                <w:lang w:val="it-IT"/>
              </w:rPr>
              <w:t>costi amministrativi, costi operativi e del personale dell’organizzazione che richiede sostegno preparatorio</w:t>
            </w:r>
            <w:r w:rsidRPr="006E14AC">
              <w:rPr>
                <w:rFonts w:asciiTheme="minorHAnsi" w:hAnsiTheme="minorHAnsi" w:cstheme="minorHAnsi"/>
                <w:b/>
                <w:bCs/>
                <w:sz w:val="18"/>
                <w:szCs w:val="18"/>
                <w:lang w:val="it-IT"/>
              </w:rPr>
              <w:t>.</w:t>
            </w:r>
          </w:p>
          <w:p w14:paraId="5412F395" w14:textId="506DC0B5" w:rsidR="00CB6EDC" w:rsidRPr="00CB6EDC" w:rsidRDefault="00CB6EDC">
            <w:pPr>
              <w:pStyle w:val="TableParagraph"/>
              <w:spacing w:line="201" w:lineRule="exact"/>
              <w:ind w:left="7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</w:p>
        </w:tc>
        <w:tc>
          <w:tcPr>
            <w:tcW w:w="483" w:type="pct"/>
          </w:tcPr>
          <w:p w14:paraId="76177E8E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7E5F0F35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1FD76DC0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269A1E37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0185F80E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0B89DCEC" w14:textId="77777777" w:rsidR="00CB6EDC" w:rsidRPr="00CB6EDC" w:rsidRDefault="00CB6EDC" w:rsidP="00CB6EDC">
            <w:pPr>
              <w:pStyle w:val="TableParagraph"/>
              <w:spacing w:before="143"/>
              <w:ind w:left="69"/>
              <w:rPr>
                <w:rFonts w:asciiTheme="minorHAnsi" w:hAnsiTheme="minorHAnsi" w:cstheme="minorHAnsi"/>
                <w:sz w:val="18"/>
                <w:szCs w:val="18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</w:rPr>
              <w:t>R6</w:t>
            </w:r>
          </w:p>
        </w:tc>
        <w:tc>
          <w:tcPr>
            <w:tcW w:w="751" w:type="pct"/>
          </w:tcPr>
          <w:p w14:paraId="42ED072D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A392C98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E7079EB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C01F6C6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5264F1EE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5A215CD" w14:textId="77777777" w:rsidR="00CB6EDC" w:rsidRPr="00CB6EDC" w:rsidRDefault="00CB6EDC" w:rsidP="00CB6EDC">
            <w:pPr>
              <w:pStyle w:val="TableParagraph"/>
              <w:spacing w:before="143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</w:rPr>
              <w:t>AM</w:t>
            </w:r>
          </w:p>
        </w:tc>
        <w:tc>
          <w:tcPr>
            <w:tcW w:w="688" w:type="pct"/>
          </w:tcPr>
          <w:p w14:paraId="362B00E3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ACDCCC6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34358645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46CE3B4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06833AD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18935209" w14:textId="77777777" w:rsidR="00CB6EDC" w:rsidRPr="00CB6EDC" w:rsidRDefault="00CB6EDC" w:rsidP="00CB6EDC">
            <w:pPr>
              <w:pStyle w:val="TableParagraph"/>
              <w:spacing w:before="143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</w:rPr>
              <w:t>M</w:t>
            </w:r>
          </w:p>
        </w:tc>
        <w:tc>
          <w:tcPr>
            <w:tcW w:w="803" w:type="pct"/>
          </w:tcPr>
          <w:p w14:paraId="66BEE31B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41B79B8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D196BCC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34956CB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2F934998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07B0744" w14:textId="77777777" w:rsidR="00CB6EDC" w:rsidRPr="00CB6EDC" w:rsidRDefault="00CB6EDC" w:rsidP="00CB6EDC">
            <w:pPr>
              <w:pStyle w:val="TableParagraph"/>
              <w:spacing w:before="143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</w:rPr>
              <w:t>DA, DP</w:t>
            </w:r>
          </w:p>
        </w:tc>
        <w:tc>
          <w:tcPr>
            <w:tcW w:w="1118" w:type="pct"/>
          </w:tcPr>
          <w:p w14:paraId="4AD28B47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0A35F8E4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5399EAFD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52D8D389" w14:textId="77777777" w:rsidR="00CB6EDC" w:rsidRPr="00CB6EDC" w:rsidRDefault="00CB6EDC" w:rsidP="00CB6EDC">
            <w:pPr>
              <w:pStyle w:val="TableParagraph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633810A0" w14:textId="77777777" w:rsidR="00CB6EDC" w:rsidRPr="00CB6EDC" w:rsidRDefault="00CB6EDC" w:rsidP="00CB6EDC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</w:p>
          <w:p w14:paraId="78E2AC81" w14:textId="77777777" w:rsidR="00CB6EDC" w:rsidRPr="00CB6EDC" w:rsidRDefault="00CB6EDC" w:rsidP="00CB6EDC">
            <w:pPr>
              <w:pStyle w:val="TableParagraph"/>
              <w:ind w:left="69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CB6EDC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DP Verifica da parte del funzionario istruttore delle spese rendicontate e della loro coerenza con quelle ammissibili</w:t>
            </w:r>
          </w:p>
        </w:tc>
      </w:tr>
      <w:tr w:rsidR="00F23E30" w14:paraId="46071CF8" w14:textId="77777777" w:rsidTr="00CB6EDC">
        <w:trPr>
          <w:trHeight w:val="438"/>
        </w:trPr>
        <w:tc>
          <w:tcPr>
            <w:tcW w:w="1157" w:type="pct"/>
          </w:tcPr>
          <w:p w14:paraId="28595E47" w14:textId="77777777" w:rsidR="00031927" w:rsidRPr="00031927" w:rsidRDefault="00031927" w:rsidP="00031927">
            <w:pPr>
              <w:pStyle w:val="TableParagraph"/>
              <w:spacing w:line="218" w:lineRule="exact"/>
              <w:ind w:left="71"/>
              <w:rPr>
                <w:b/>
                <w:bCs/>
                <w:sz w:val="18"/>
                <w:lang w:val="it-IT"/>
              </w:rPr>
            </w:pPr>
            <w:r w:rsidRPr="00031927">
              <w:rPr>
                <w:b/>
                <w:bCs/>
                <w:sz w:val="18"/>
                <w:highlight w:val="green"/>
                <w:lang w:val="it-IT"/>
              </w:rPr>
              <w:t>Per i partenariati pubblico/privati che presentano una strategia di sviluppo locale per il periodo di programmazione 2014-2022:</w:t>
            </w:r>
          </w:p>
          <w:p w14:paraId="0782A1C3" w14:textId="77777777" w:rsidR="00031927" w:rsidRPr="00031927" w:rsidRDefault="00031927" w:rsidP="00031927">
            <w:pPr>
              <w:pStyle w:val="TableParagraph"/>
              <w:spacing w:line="218" w:lineRule="exact"/>
              <w:ind w:left="71"/>
              <w:rPr>
                <w:sz w:val="18"/>
                <w:lang w:val="it-IT"/>
              </w:rPr>
            </w:pPr>
            <w:r w:rsidRPr="00031927">
              <w:rPr>
                <w:sz w:val="18"/>
                <w:lang w:val="it-IT"/>
              </w:rPr>
              <w:t xml:space="preserve">Sono ammissibili le spese </w:t>
            </w:r>
            <w:r w:rsidRPr="00031927">
              <w:rPr>
                <w:sz w:val="18"/>
                <w:lang w:val="it-IT"/>
              </w:rPr>
              <w:lastRenderedPageBreak/>
              <w:t>sostenute</w:t>
            </w:r>
          </w:p>
          <w:p w14:paraId="398472C2" w14:textId="77777777" w:rsidR="00031927" w:rsidRPr="00031927" w:rsidRDefault="00031927" w:rsidP="00031927">
            <w:pPr>
              <w:pStyle w:val="TableParagraph"/>
              <w:spacing w:before="1" w:line="199" w:lineRule="exact"/>
              <w:ind w:left="71"/>
              <w:rPr>
                <w:b/>
                <w:bCs/>
                <w:strike/>
                <w:sz w:val="18"/>
                <w:lang w:val="it-IT"/>
              </w:rPr>
            </w:pPr>
            <w:r w:rsidRPr="00031927">
              <w:rPr>
                <w:sz w:val="18"/>
                <w:lang w:val="it-IT"/>
              </w:rPr>
              <w:t>successivamente alla data del 1° gennaio 2015</w:t>
            </w:r>
            <w:r w:rsidRPr="00031927">
              <w:rPr>
                <w:b/>
                <w:bCs/>
                <w:sz w:val="18"/>
                <w:lang w:val="it-IT"/>
              </w:rPr>
              <w:t>.</w:t>
            </w:r>
          </w:p>
          <w:p w14:paraId="293349CE" w14:textId="77777777" w:rsidR="00031927" w:rsidRPr="00031927" w:rsidRDefault="00031927" w:rsidP="00031927">
            <w:pPr>
              <w:pStyle w:val="TableParagraph"/>
              <w:spacing w:before="1" w:line="199" w:lineRule="exact"/>
              <w:ind w:left="71"/>
              <w:rPr>
                <w:b/>
                <w:bCs/>
                <w:strike/>
                <w:sz w:val="18"/>
                <w:lang w:val="it-IT"/>
              </w:rPr>
            </w:pPr>
          </w:p>
          <w:p w14:paraId="2FA328B2" w14:textId="77777777" w:rsidR="00031927" w:rsidRPr="00031927" w:rsidRDefault="00031927" w:rsidP="00031927">
            <w:pPr>
              <w:pStyle w:val="TableParagraph"/>
              <w:spacing w:before="1" w:line="199" w:lineRule="exact"/>
              <w:ind w:left="71"/>
              <w:rPr>
                <w:b/>
                <w:bCs/>
                <w:sz w:val="18"/>
                <w:highlight w:val="green"/>
                <w:lang w:val="it-IT"/>
              </w:rPr>
            </w:pPr>
            <w:r w:rsidRPr="00031927">
              <w:rPr>
                <w:b/>
                <w:bCs/>
                <w:sz w:val="18"/>
                <w:highlight w:val="green"/>
                <w:lang w:val="it-IT"/>
              </w:rPr>
              <w:t>Per i partenariati pubblico/privati che presentano una strategia di sviluppo locale per il periodo di programmazione 2023-2027:</w:t>
            </w:r>
          </w:p>
          <w:p w14:paraId="215D0BBC" w14:textId="77777777" w:rsidR="00031927" w:rsidRPr="00031927" w:rsidRDefault="00031927" w:rsidP="00031927">
            <w:pPr>
              <w:pStyle w:val="TableParagraph"/>
              <w:spacing w:before="1" w:line="199" w:lineRule="exact"/>
              <w:ind w:left="71"/>
              <w:rPr>
                <w:b/>
                <w:bCs/>
                <w:sz w:val="18"/>
                <w:highlight w:val="green"/>
                <w:lang w:val="it-IT"/>
              </w:rPr>
            </w:pPr>
          </w:p>
          <w:p w14:paraId="0997E153" w14:textId="77777777" w:rsidR="00031927" w:rsidRPr="00031927" w:rsidRDefault="00031927" w:rsidP="00031927">
            <w:pPr>
              <w:pStyle w:val="TableParagraph"/>
              <w:spacing w:before="1" w:line="199" w:lineRule="exact"/>
              <w:ind w:left="71"/>
              <w:rPr>
                <w:b/>
                <w:bCs/>
                <w:sz w:val="18"/>
                <w:highlight w:val="green"/>
                <w:lang w:val="it-IT"/>
              </w:rPr>
            </w:pPr>
            <w:r w:rsidRPr="00031927">
              <w:rPr>
                <w:b/>
                <w:bCs/>
                <w:sz w:val="18"/>
                <w:highlight w:val="green"/>
                <w:lang w:val="it-IT"/>
              </w:rPr>
              <w:t>-</w:t>
            </w:r>
            <w:r w:rsidRPr="00031927">
              <w:rPr>
                <w:b/>
                <w:bCs/>
                <w:sz w:val="18"/>
                <w:highlight w:val="green"/>
                <w:lang w:val="it-IT"/>
              </w:rPr>
              <w:tab/>
              <w:t>l’ammissibilità della concessione del sostegno ai beneficiari di questo intervento è subordinata alla presentazione di una proposta di SSL o di una SSL, risultato dell’attività di consultazione e animazione svolta dai partenariati candidati, secondo gli elementi contemplati negli artt. 32 e 33 del Reg. (UE) 2021/1060;</w:t>
            </w:r>
          </w:p>
          <w:p w14:paraId="6931530D" w14:textId="22ABDF35" w:rsidR="00F23E30" w:rsidRPr="00031927" w:rsidRDefault="00031927" w:rsidP="00031927">
            <w:pPr>
              <w:pStyle w:val="TableParagraph"/>
              <w:spacing w:before="1" w:line="199" w:lineRule="exact"/>
              <w:ind w:left="71"/>
              <w:rPr>
                <w:strike/>
                <w:sz w:val="18"/>
                <w:lang w:val="it-IT"/>
              </w:rPr>
            </w:pPr>
            <w:r w:rsidRPr="00031927">
              <w:rPr>
                <w:b/>
                <w:bCs/>
                <w:sz w:val="18"/>
                <w:highlight w:val="green"/>
                <w:lang w:val="it-IT"/>
              </w:rPr>
              <w:t>-</w:t>
            </w:r>
            <w:r w:rsidRPr="00031927">
              <w:rPr>
                <w:b/>
                <w:bCs/>
                <w:sz w:val="18"/>
                <w:highlight w:val="green"/>
                <w:lang w:val="it-IT"/>
              </w:rPr>
              <w:tab/>
              <w:t>in accordo con l’articolo 34 del Regolamento UE 2021/1060 il sostegno allo sviluppo delle capacità e azioni preparatorie a sostegno dell’elaborazione e della futura attuazione delle strategie è ammissibile a prescindere dal fatto che la strategia sia successivamente ammessa a ricevere il sostegno</w:t>
            </w:r>
          </w:p>
        </w:tc>
        <w:tc>
          <w:tcPr>
            <w:tcW w:w="483" w:type="pct"/>
          </w:tcPr>
          <w:p w14:paraId="244BF92F" w14:textId="77777777" w:rsidR="00F23E30" w:rsidRDefault="00F23E30">
            <w:pPr>
              <w:pStyle w:val="TableParagraph"/>
              <w:spacing w:before="109"/>
              <w:ind w:left="69"/>
              <w:rPr>
                <w:sz w:val="18"/>
              </w:rPr>
            </w:pPr>
            <w:r>
              <w:rPr>
                <w:sz w:val="18"/>
              </w:rPr>
              <w:lastRenderedPageBreak/>
              <w:t>R6</w:t>
            </w:r>
          </w:p>
        </w:tc>
        <w:tc>
          <w:tcPr>
            <w:tcW w:w="751" w:type="pct"/>
          </w:tcPr>
          <w:p w14:paraId="11A3434A" w14:textId="77777777" w:rsidR="00F23E30" w:rsidRDefault="00F23E30">
            <w:pPr>
              <w:pStyle w:val="TableParagraph"/>
              <w:spacing w:before="109"/>
              <w:ind w:left="71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688" w:type="pct"/>
          </w:tcPr>
          <w:p w14:paraId="3F591EBD" w14:textId="77777777" w:rsidR="00F23E30" w:rsidRDefault="00F23E30">
            <w:pPr>
              <w:pStyle w:val="TableParagraph"/>
              <w:spacing w:before="109"/>
              <w:ind w:left="71"/>
              <w:rPr>
                <w:sz w:val="18"/>
              </w:rPr>
            </w:pPr>
            <w:r>
              <w:rPr>
                <w:sz w:val="18"/>
              </w:rPr>
              <w:t>M</w:t>
            </w:r>
          </w:p>
        </w:tc>
        <w:tc>
          <w:tcPr>
            <w:tcW w:w="803" w:type="pct"/>
          </w:tcPr>
          <w:p w14:paraId="58FCFC9E" w14:textId="77777777" w:rsidR="00F23E30" w:rsidRDefault="00F23E30">
            <w:pPr>
              <w:pStyle w:val="TableParagraph"/>
              <w:spacing w:before="109"/>
              <w:ind w:left="71"/>
              <w:rPr>
                <w:sz w:val="18"/>
              </w:rPr>
            </w:pPr>
            <w:r>
              <w:rPr>
                <w:sz w:val="18"/>
              </w:rPr>
              <w:t>DA, DP</w:t>
            </w:r>
          </w:p>
        </w:tc>
        <w:tc>
          <w:tcPr>
            <w:tcW w:w="1118" w:type="pct"/>
          </w:tcPr>
          <w:p w14:paraId="7C742FEE" w14:textId="77777777" w:rsidR="00F23E30" w:rsidRPr="00F63586" w:rsidRDefault="00F23E30">
            <w:pPr>
              <w:pStyle w:val="TableParagraph"/>
              <w:spacing w:line="218" w:lineRule="exact"/>
              <w:ind w:left="69"/>
              <w:rPr>
                <w:sz w:val="18"/>
                <w:lang w:val="it-IT"/>
              </w:rPr>
            </w:pPr>
            <w:r w:rsidRPr="00F63586">
              <w:rPr>
                <w:sz w:val="18"/>
                <w:lang w:val="it-IT"/>
              </w:rPr>
              <w:t>DP Verifica delle data delle fatture relative alle attività di</w:t>
            </w:r>
          </w:p>
          <w:p w14:paraId="105FCB4E" w14:textId="77777777" w:rsidR="00F23E30" w:rsidRPr="00F63586" w:rsidRDefault="00F23E30">
            <w:pPr>
              <w:pStyle w:val="TableParagraph"/>
              <w:spacing w:before="1" w:line="199" w:lineRule="exact"/>
              <w:ind w:left="69"/>
              <w:rPr>
                <w:sz w:val="18"/>
                <w:lang w:val="it-IT"/>
              </w:rPr>
            </w:pPr>
            <w:r w:rsidRPr="00F63586">
              <w:rPr>
                <w:sz w:val="18"/>
                <w:lang w:val="it-IT"/>
              </w:rPr>
              <w:t>preparazione da parte del funzionario istruttorie</w:t>
            </w:r>
          </w:p>
        </w:tc>
      </w:tr>
      <w:tr w:rsidR="00F23E30" w14:paraId="5E04DD06" w14:textId="77777777" w:rsidTr="00CB6EDC">
        <w:trPr>
          <w:trHeight w:val="659"/>
        </w:trPr>
        <w:tc>
          <w:tcPr>
            <w:tcW w:w="1157" w:type="pct"/>
          </w:tcPr>
          <w:p w14:paraId="19EF2153" w14:textId="77777777" w:rsidR="00F23E30" w:rsidRPr="00F63586" w:rsidRDefault="00F23E30">
            <w:pPr>
              <w:pStyle w:val="TableParagraph"/>
              <w:spacing w:before="109"/>
              <w:ind w:left="71"/>
              <w:rPr>
                <w:sz w:val="18"/>
                <w:lang w:val="it-IT"/>
              </w:rPr>
            </w:pPr>
            <w:r w:rsidRPr="00F63586">
              <w:rPr>
                <w:sz w:val="18"/>
                <w:lang w:val="it-IT"/>
              </w:rPr>
              <w:t>Tracciabilità di tutti i dati contenuti nella domanda di pagamento</w:t>
            </w:r>
          </w:p>
        </w:tc>
        <w:tc>
          <w:tcPr>
            <w:tcW w:w="483" w:type="pct"/>
          </w:tcPr>
          <w:p w14:paraId="05DE2EB8" w14:textId="77777777" w:rsidR="00F23E30" w:rsidRPr="00F63586" w:rsidRDefault="00F23E30">
            <w:pPr>
              <w:pStyle w:val="TableParagraph"/>
              <w:spacing w:before="11"/>
              <w:rPr>
                <w:b/>
                <w:sz w:val="17"/>
                <w:lang w:val="it-IT"/>
              </w:rPr>
            </w:pPr>
          </w:p>
          <w:p w14:paraId="37B2F9D9" w14:textId="77777777" w:rsidR="00F23E30" w:rsidRDefault="00F23E30">
            <w:pPr>
              <w:pStyle w:val="TableParagraph"/>
              <w:spacing w:before="1"/>
              <w:ind w:left="69"/>
              <w:rPr>
                <w:sz w:val="18"/>
              </w:rPr>
            </w:pPr>
            <w:r>
              <w:rPr>
                <w:sz w:val="18"/>
              </w:rPr>
              <w:t>R9, R8</w:t>
            </w:r>
          </w:p>
        </w:tc>
        <w:tc>
          <w:tcPr>
            <w:tcW w:w="751" w:type="pct"/>
          </w:tcPr>
          <w:p w14:paraId="6827CBBA" w14:textId="77777777" w:rsidR="00F23E30" w:rsidRDefault="00F23E30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59BF8CDD" w14:textId="77777777" w:rsidR="00F23E30" w:rsidRDefault="00F23E30">
            <w:pPr>
              <w:pStyle w:val="TableParagraph"/>
              <w:spacing w:before="1"/>
              <w:ind w:left="71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688" w:type="pct"/>
          </w:tcPr>
          <w:p w14:paraId="248BE283" w14:textId="77777777" w:rsidR="00F23E30" w:rsidRDefault="00F23E30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257D8878" w14:textId="77777777" w:rsidR="00F23E30" w:rsidRDefault="00F23E30">
            <w:pPr>
              <w:pStyle w:val="TableParagraph"/>
              <w:spacing w:before="1"/>
              <w:ind w:left="71"/>
              <w:rPr>
                <w:sz w:val="18"/>
              </w:rPr>
            </w:pPr>
            <w:r>
              <w:rPr>
                <w:sz w:val="18"/>
              </w:rPr>
              <w:t>I, M</w:t>
            </w:r>
          </w:p>
        </w:tc>
        <w:tc>
          <w:tcPr>
            <w:tcW w:w="803" w:type="pct"/>
          </w:tcPr>
          <w:p w14:paraId="5BE92501" w14:textId="77777777" w:rsidR="00F23E30" w:rsidRDefault="00F23E30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1A3D8729" w14:textId="77777777" w:rsidR="00F23E30" w:rsidRDefault="00F23E30">
            <w:pPr>
              <w:pStyle w:val="TableParagraph"/>
              <w:spacing w:before="1"/>
              <w:ind w:left="71"/>
              <w:rPr>
                <w:sz w:val="18"/>
              </w:rPr>
            </w:pPr>
            <w:r>
              <w:rPr>
                <w:sz w:val="18"/>
              </w:rPr>
              <w:t>DA, DP</w:t>
            </w:r>
          </w:p>
        </w:tc>
        <w:tc>
          <w:tcPr>
            <w:tcW w:w="1118" w:type="pct"/>
          </w:tcPr>
          <w:p w14:paraId="4576E3AC" w14:textId="77777777" w:rsidR="00F23E30" w:rsidRPr="00F63586" w:rsidRDefault="00F23E30">
            <w:pPr>
              <w:pStyle w:val="TableParagraph"/>
              <w:spacing w:line="218" w:lineRule="exact"/>
              <w:ind w:left="69"/>
              <w:rPr>
                <w:sz w:val="18"/>
                <w:lang w:val="it-IT"/>
              </w:rPr>
            </w:pPr>
            <w:r w:rsidRPr="00F63586">
              <w:rPr>
                <w:sz w:val="18"/>
                <w:lang w:val="it-IT"/>
              </w:rPr>
              <w:t>Verifica istruttoria attraverso il sistema informativo</w:t>
            </w:r>
          </w:p>
          <w:p w14:paraId="7D0904AA" w14:textId="77777777" w:rsidR="00F23E30" w:rsidRPr="00F63586" w:rsidRDefault="00F23E30">
            <w:pPr>
              <w:pStyle w:val="TableParagraph"/>
              <w:spacing w:before="1" w:line="220" w:lineRule="atLeast"/>
              <w:ind w:left="69" w:right="112"/>
              <w:rPr>
                <w:sz w:val="18"/>
                <w:lang w:val="it-IT"/>
              </w:rPr>
            </w:pPr>
            <w:r w:rsidRPr="00F63586">
              <w:rPr>
                <w:sz w:val="18"/>
                <w:lang w:val="it-IT"/>
              </w:rPr>
              <w:t>agricolo della Regione (SISCO), che traccia tutte le fasi del controllo.</w:t>
            </w:r>
          </w:p>
        </w:tc>
      </w:tr>
      <w:tr w:rsidR="00F23E30" w14:paraId="2E745B7C" w14:textId="77777777" w:rsidTr="00CB6EDC">
        <w:trPr>
          <w:trHeight w:val="659"/>
        </w:trPr>
        <w:tc>
          <w:tcPr>
            <w:tcW w:w="1157" w:type="pct"/>
          </w:tcPr>
          <w:p w14:paraId="7BA02557" w14:textId="77777777" w:rsidR="00F23E30" w:rsidRPr="00F63586" w:rsidRDefault="00F23E30">
            <w:pPr>
              <w:pStyle w:val="TableParagraph"/>
              <w:ind w:left="71" w:right="78"/>
              <w:rPr>
                <w:sz w:val="18"/>
                <w:lang w:val="it-IT"/>
              </w:rPr>
            </w:pPr>
            <w:r w:rsidRPr="00F63586">
              <w:rPr>
                <w:sz w:val="18"/>
                <w:lang w:val="it-IT"/>
              </w:rPr>
              <w:t>Disporre di un sistema adeguato di controllo e di gestione delle procedure relative alle domande di</w:t>
            </w:r>
          </w:p>
          <w:p w14:paraId="49C5659A" w14:textId="77777777" w:rsidR="00F23E30" w:rsidRDefault="00F23E30">
            <w:pPr>
              <w:pStyle w:val="TableParagraph"/>
              <w:spacing w:line="199" w:lineRule="exact"/>
              <w:ind w:left="71"/>
              <w:rPr>
                <w:sz w:val="18"/>
              </w:rPr>
            </w:pPr>
            <w:r>
              <w:rPr>
                <w:sz w:val="18"/>
                <w:lang w:val="it"/>
              </w:rPr>
              <w:t>aiuto e pagamento</w:t>
            </w:r>
          </w:p>
        </w:tc>
        <w:tc>
          <w:tcPr>
            <w:tcW w:w="483" w:type="pct"/>
          </w:tcPr>
          <w:p w14:paraId="34D7AD79" w14:textId="77777777" w:rsidR="00F23E30" w:rsidRDefault="00F23E30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5126BD58" w14:textId="77777777" w:rsidR="00F23E30" w:rsidRDefault="00F23E30">
            <w:pPr>
              <w:pStyle w:val="TableParagraph"/>
              <w:ind w:left="69"/>
              <w:rPr>
                <w:sz w:val="18"/>
              </w:rPr>
            </w:pPr>
            <w:r>
              <w:rPr>
                <w:sz w:val="18"/>
              </w:rPr>
              <w:t>R8, R9</w:t>
            </w:r>
          </w:p>
        </w:tc>
        <w:tc>
          <w:tcPr>
            <w:tcW w:w="751" w:type="pct"/>
          </w:tcPr>
          <w:p w14:paraId="563AB042" w14:textId="77777777" w:rsidR="00F23E30" w:rsidRDefault="00F23E30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2488C545" w14:textId="77777777" w:rsidR="00F23E30" w:rsidRDefault="00F23E30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AM</w:t>
            </w:r>
          </w:p>
        </w:tc>
        <w:tc>
          <w:tcPr>
            <w:tcW w:w="688" w:type="pct"/>
          </w:tcPr>
          <w:p w14:paraId="2E04B41F" w14:textId="77777777" w:rsidR="00F23E30" w:rsidRDefault="00F23E30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057ECAC1" w14:textId="77777777" w:rsidR="00F23E30" w:rsidRDefault="00F23E30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I, M</w:t>
            </w:r>
          </w:p>
        </w:tc>
        <w:tc>
          <w:tcPr>
            <w:tcW w:w="803" w:type="pct"/>
          </w:tcPr>
          <w:p w14:paraId="6C34F825" w14:textId="77777777" w:rsidR="00F23E30" w:rsidRDefault="00F23E30">
            <w:pPr>
              <w:pStyle w:val="TableParagraph"/>
              <w:spacing w:before="11"/>
              <w:rPr>
                <w:b/>
                <w:sz w:val="17"/>
              </w:rPr>
            </w:pPr>
          </w:p>
          <w:p w14:paraId="47209FD2" w14:textId="77777777" w:rsidR="00F23E30" w:rsidRDefault="00F23E30">
            <w:pPr>
              <w:pStyle w:val="TableParagraph"/>
              <w:ind w:left="71"/>
              <w:rPr>
                <w:sz w:val="18"/>
              </w:rPr>
            </w:pPr>
            <w:r>
              <w:rPr>
                <w:sz w:val="18"/>
              </w:rPr>
              <w:t>DA, DP</w:t>
            </w:r>
          </w:p>
        </w:tc>
        <w:tc>
          <w:tcPr>
            <w:tcW w:w="1118" w:type="pct"/>
          </w:tcPr>
          <w:p w14:paraId="49A02935" w14:textId="77777777" w:rsidR="00F23E30" w:rsidRPr="00F63586" w:rsidRDefault="00F23E30">
            <w:pPr>
              <w:pStyle w:val="TableParagraph"/>
              <w:ind w:left="69" w:right="334"/>
              <w:rPr>
                <w:sz w:val="18"/>
                <w:lang w:val="it-IT"/>
              </w:rPr>
            </w:pPr>
            <w:r w:rsidRPr="00F63586">
              <w:rPr>
                <w:sz w:val="18"/>
                <w:lang w:val="it-IT"/>
              </w:rPr>
              <w:t>Le procedure relative alla domanda di aiuto e di pagamento sono gestite tramite il sistema informativo</w:t>
            </w:r>
          </w:p>
          <w:p w14:paraId="2059C201" w14:textId="77777777" w:rsidR="00F23E30" w:rsidRDefault="00F23E30">
            <w:pPr>
              <w:pStyle w:val="TableParagraph"/>
              <w:spacing w:line="199" w:lineRule="exact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agricolo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Regione</w:t>
            </w:r>
            <w:proofErr w:type="spellEnd"/>
            <w:r>
              <w:rPr>
                <w:sz w:val="18"/>
              </w:rPr>
              <w:t xml:space="preserve"> (SISCO)</w:t>
            </w:r>
          </w:p>
        </w:tc>
      </w:tr>
    </w:tbl>
    <w:p w14:paraId="4799339F" w14:textId="77777777" w:rsidR="00F628C1" w:rsidRDefault="00F628C1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B4D35D5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8.2.14.3.1.9.2. Misure di attenuazione</w:t>
      </w:r>
    </w:p>
    <w:p w14:paraId="2C16F4D6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07BB8206" w14:textId="77777777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Si rimanda alla colonna “Elementi e modalità di controllo” della tabella di cui al precedente paragrafo</w:t>
      </w:r>
      <w:r w:rsidR="00B00C19">
        <w:rPr>
          <w:rFonts w:ascii="TimesNewRomanPS-ItalicMT" w:hAnsi="TimesNewRomanPS-ItalicMT" w:cs="TimesNewRomanPS-ItalicMT"/>
          <w:i/>
          <w:iCs/>
          <w:sz w:val="24"/>
          <w:szCs w:val="24"/>
        </w:rPr>
        <w:t xml:space="preserve"> </w:t>
      </w:r>
      <w:r>
        <w:rPr>
          <w:rFonts w:ascii="TimesNewRomanPS-ItalicMT" w:hAnsi="TimesNewRomanPS-ItalicMT" w:cs="TimesNewRomanPS-ItalicMT"/>
          <w:i/>
          <w:iCs/>
          <w:sz w:val="24"/>
          <w:szCs w:val="24"/>
        </w:rPr>
        <w:t>“Rischio/rischi inerenti all'attuazione delle misure”.</w:t>
      </w:r>
    </w:p>
    <w:p w14:paraId="3F77D036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 w:val="24"/>
          <w:szCs w:val="24"/>
        </w:rPr>
      </w:pPr>
    </w:p>
    <w:p w14:paraId="727B6BA6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8.2.14.3.1.9.3. Valutazione generale della misura</w:t>
      </w:r>
    </w:p>
    <w:p w14:paraId="03DDBCD0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6CA134A0" w14:textId="77777777" w:rsidR="00B00C19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Nelle disposizioni attuative, al fine di rendere trasparenti le procedure ai Gruppi di Azione Locale, saranno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definiti puntualmente gli elementi per presentare domanda (modalità di presentazione delle domande e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indicazione della specifica documentazione da allegare, condizioni di ammissibilità, impegni, limiti e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divieti, spese ammissibili e modalità di rendicontazione, importo e intensità del sostegno, descrizione dei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controlli che saranno effettuati e delle conseguenze per il mancato rispetto degli impegni).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7B4F28DE" w14:textId="77777777" w:rsidR="00662423" w:rsidRDefault="0066242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F6CDFBF" w14:textId="26DFCD74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L’Autorità di Gestione e l’Organismo Pagatore Regionale organizzeranno specifici corsi di formazione per i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funzionari responsabili dei controlli, al fine di assicurare uniformità nell’esecuzione delle verifiche. Nei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corsi di formazione saranno illustrate le modalità di esecuzione dei controlli (comprese le verifiche di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congruità degli investimenti e delle spese) e di corretta compilazione delle apposite check list predisposte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dall’Organismo Pagatore Regionale.</w:t>
      </w:r>
    </w:p>
    <w:p w14:paraId="72D997E8" w14:textId="77777777" w:rsidR="00662423" w:rsidRDefault="0066242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ED0ABE2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65EBC90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8.2.14.3.1.10. Metodo per il calcolo dell'importo o del tasso di sostegno, se del caso</w:t>
      </w:r>
    </w:p>
    <w:p w14:paraId="2B74DABF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3CF8A3BC" w14:textId="20A58509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Non pertinente</w:t>
      </w:r>
    </w:p>
    <w:p w14:paraId="08ED7786" w14:textId="190F0D93" w:rsidR="00662423" w:rsidRDefault="0066242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1887539" w14:textId="77777777" w:rsidR="00662423" w:rsidRDefault="0066242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9AE2EAD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E705702" w14:textId="6A720E30" w:rsidR="00787342" w:rsidRDefault="00787342" w:rsidP="00804FA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072D9EA3" w14:textId="77777777" w:rsidR="00787342" w:rsidRDefault="00787342" w:rsidP="0078734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8.2.14.3.1.11. Informazioni specifiche della misura</w:t>
      </w:r>
    </w:p>
    <w:p w14:paraId="10CEA5AF" w14:textId="77777777" w:rsidR="00C90482" w:rsidRDefault="00C90482" w:rsidP="007873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6C612A9" w14:textId="1A0D71AC" w:rsidR="00787342" w:rsidRDefault="00787342" w:rsidP="007873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Descrizione degli elementi obbligatori dello sviluppo locale di tipo partecipativo (di seguito: "SLTP") di cui la misura LEADER è composta: supporto tecnico preparatorio, attuazione di operazioni nell'ambito della strategia SLTP, preparazione e attuazione di attività di cooperazione del gruppo di azione locale (di seguito: "GAL"), costi di esercizio e animazione di cui all'articolo 35, paragrafo 1, del regolamento (UE)</w:t>
      </w:r>
    </w:p>
    <w:p w14:paraId="1DEFB932" w14:textId="22B374CC" w:rsidR="00C90482" w:rsidRDefault="00787342" w:rsidP="007873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n. 1303/2013</w:t>
      </w:r>
      <w:r w:rsidR="00071955">
        <w:rPr>
          <w:rFonts w:ascii="TimesNewRomanPSMT" w:hAnsi="TimesNewRomanPSMT" w:cs="TimesNewRomanPSMT"/>
          <w:sz w:val="24"/>
          <w:szCs w:val="24"/>
        </w:rPr>
        <w:t>.</w:t>
      </w:r>
    </w:p>
    <w:p w14:paraId="05FEC663" w14:textId="77777777" w:rsidR="00C90482" w:rsidRDefault="00C90482" w:rsidP="0078734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F6485EB" w14:textId="77777777" w:rsidR="00071955" w:rsidRDefault="00071955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bookmarkStart w:id="1" w:name="_Hlk107845532"/>
    </w:p>
    <w:p w14:paraId="474AC7C8" w14:textId="63E3183E" w:rsidR="00071955" w:rsidRPr="00071955" w:rsidRDefault="00071955" w:rsidP="00071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071955">
        <w:rPr>
          <w:rFonts w:ascii="TimesNewRomanPSMT" w:hAnsi="TimesNewRomanPSMT" w:cs="TimesNewRomanPSMT"/>
          <w:color w:val="FF0000"/>
          <w:sz w:val="24"/>
          <w:szCs w:val="24"/>
        </w:rPr>
        <w:t xml:space="preserve">Per il periodo di programmazione 2014-2022 </w:t>
      </w:r>
      <w:r w:rsidRPr="00071955">
        <w:rPr>
          <w:rFonts w:ascii="TimesNewRomanPSMT" w:hAnsi="TimesNewRomanPSMT" w:cs="TimesNewRomanPSMT"/>
          <w:sz w:val="24"/>
          <w:szCs w:val="24"/>
        </w:rPr>
        <w:t>si rimanda all’analogo paragrafo delle informazioni specifiche di misura.</w:t>
      </w:r>
    </w:p>
    <w:p w14:paraId="1ADF1C86" w14:textId="77777777" w:rsidR="00071955" w:rsidRPr="00071955" w:rsidRDefault="00071955" w:rsidP="00071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063F9728" w14:textId="4E4E8FE6" w:rsidR="00071955" w:rsidRPr="00071955" w:rsidRDefault="00071955" w:rsidP="00071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071955">
        <w:rPr>
          <w:rFonts w:ascii="TimesNewRomanPSMT" w:hAnsi="TimesNewRomanPSMT" w:cs="TimesNewRomanPSMT"/>
          <w:color w:val="FF0000"/>
          <w:sz w:val="24"/>
          <w:szCs w:val="24"/>
        </w:rPr>
        <w:t>Per il periodo di programmazione 2023-2027</w:t>
      </w:r>
      <w:r w:rsidR="002A05D8">
        <w:rPr>
          <w:rFonts w:ascii="TimesNewRomanPSMT" w:hAnsi="TimesNewRomanPSMT" w:cs="TimesNewRomanPSMT"/>
          <w:color w:val="FF0000"/>
          <w:sz w:val="24"/>
          <w:szCs w:val="24"/>
        </w:rPr>
        <w:t xml:space="preserve"> si forniscono le seguenti specifiche:</w:t>
      </w:r>
    </w:p>
    <w:p w14:paraId="3B86CD92" w14:textId="77777777" w:rsidR="00071955" w:rsidRPr="00071955" w:rsidRDefault="00071955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14:paraId="6973C4FC" w14:textId="22F95B52" w:rsidR="001E58D2" w:rsidRDefault="0048047C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 w:rsidRPr="00C9048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>TERRITORIO</w:t>
      </w:r>
    </w:p>
    <w:p w14:paraId="3A6638C7" w14:textId="7E9D08ED" w:rsidR="002A05D8" w:rsidRDefault="002A05D8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</w:p>
    <w:p w14:paraId="696C55BF" w14:textId="698E8B4E" w:rsidR="002A05D8" w:rsidRPr="002A05D8" w:rsidRDefault="002A05D8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2A05D8">
        <w:rPr>
          <w:rFonts w:ascii="TimesNewRomanPSMT" w:hAnsi="TimesNewRomanPSMT" w:cs="TimesNewRomanPSMT"/>
          <w:color w:val="FF0000"/>
          <w:sz w:val="24"/>
          <w:szCs w:val="24"/>
        </w:rPr>
        <w:t>L’intervento è attivato, prevalentemente in aree C e D, a livello sub-regionale e sub-provinciale, in zone omogenee e coerenti in termini geografici, sociali, economici e culturali e con una massa critica sufficiente.</w:t>
      </w:r>
    </w:p>
    <w:p w14:paraId="5D6F6AFF" w14:textId="3AFD24C2" w:rsidR="00A037E6" w:rsidRPr="00C90482" w:rsidRDefault="00A037E6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</w:p>
    <w:p w14:paraId="0F9F49DE" w14:textId="5BB6D622" w:rsidR="001E58D2" w:rsidRPr="00C90482" w:rsidRDefault="002961AC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>
        <w:rPr>
          <w:rFonts w:ascii="TimesNewRomanPSMT" w:hAnsi="TimesNewRomanPSMT" w:cs="TimesNewRomanPSMT"/>
          <w:color w:val="FF0000"/>
          <w:sz w:val="24"/>
          <w:szCs w:val="24"/>
        </w:rPr>
        <w:t>P</w:t>
      </w:r>
      <w:r w:rsidR="001E58D2" w:rsidRPr="004528F8">
        <w:rPr>
          <w:rFonts w:ascii="TimesNewRomanPSMT" w:hAnsi="TimesNewRomanPSMT" w:cs="TimesNewRomanPSMT"/>
          <w:color w:val="FF0000"/>
          <w:sz w:val="24"/>
          <w:szCs w:val="24"/>
        </w:rPr>
        <w:t>ossono candidarsi aggregazioni</w:t>
      </w:r>
      <w:r w:rsidR="00E05C2C">
        <w:rPr>
          <w:rFonts w:ascii="TimesNewRomanPSMT" w:hAnsi="TimesNewRomanPSMT" w:cs="TimesNewRomanPSMT"/>
          <w:color w:val="FF0000"/>
          <w:sz w:val="24"/>
          <w:szCs w:val="24"/>
        </w:rPr>
        <w:t xml:space="preserve"> </w:t>
      </w:r>
      <w:r w:rsidR="00E05C2C" w:rsidRPr="0043044D">
        <w:rPr>
          <w:rFonts w:ascii="TimesNewRomanPSMT" w:hAnsi="TimesNewRomanPSMT" w:cs="TimesNewRomanPSMT"/>
          <w:color w:val="FF0000"/>
          <w:sz w:val="24"/>
          <w:szCs w:val="24"/>
        </w:rPr>
        <w:t xml:space="preserve">di zone omogenee e coerenti in termini geografici, sociali, economici e culturali e con una massa critica sufficiente </w:t>
      </w:r>
      <w:r w:rsidR="001E58D2" w:rsidRPr="004528F8">
        <w:rPr>
          <w:rFonts w:ascii="TimesNewRomanPSMT" w:hAnsi="TimesNewRomanPSMT" w:cs="TimesNewRomanPSMT"/>
          <w:color w:val="FF0000"/>
          <w:sz w:val="24"/>
          <w:szCs w:val="24"/>
        </w:rPr>
        <w:t>a sostenerne la strategia di sviluppo in termini di risorse umane, finanziarie ed economiche, appartenenti a:</w:t>
      </w:r>
    </w:p>
    <w:p w14:paraId="213F49A9" w14:textId="77777777" w:rsidR="001E58D2" w:rsidRPr="00C90482" w:rsidRDefault="001E58D2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</w:p>
    <w:p w14:paraId="0D9E3859" w14:textId="77777777" w:rsidR="005E7ADB" w:rsidRPr="00C90482" w:rsidRDefault="001E58D2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 w:rsidRPr="00C9048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- </w:t>
      </w:r>
      <w:r w:rsidRPr="00C90482">
        <w:rPr>
          <w:rFonts w:ascii="TimesNewRomanPSMT" w:hAnsi="TimesNewRomanPSMT" w:cs="TimesNewRomanPSMT"/>
          <w:color w:val="FF0000"/>
          <w:sz w:val="24"/>
          <w:szCs w:val="24"/>
        </w:rPr>
        <w:t xml:space="preserve">territori classificati come aree rurali C e D nella programmazione 2014/2020; </w:t>
      </w:r>
    </w:p>
    <w:p w14:paraId="1FB8D492" w14:textId="7887B60B" w:rsidR="00A037E6" w:rsidRPr="00C90482" w:rsidRDefault="005E7ADB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C9048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- </w:t>
      </w:r>
      <w:r w:rsidR="001E58D2" w:rsidRPr="00C90482">
        <w:rPr>
          <w:rFonts w:ascii="TimesNewRomanPSMT" w:hAnsi="TimesNewRomanPSMT" w:cs="TimesNewRomanPSMT"/>
          <w:color w:val="FF0000"/>
          <w:sz w:val="24"/>
          <w:szCs w:val="24"/>
        </w:rPr>
        <w:t>territori classificati come aree B che hanno attivato</w:t>
      </w:r>
      <w:r w:rsidR="00F23E30">
        <w:rPr>
          <w:rFonts w:ascii="TimesNewRomanPSMT" w:hAnsi="TimesNewRomanPSMT" w:cs="TimesNewRomanPSMT"/>
          <w:color w:val="FF0000"/>
          <w:sz w:val="24"/>
          <w:szCs w:val="24"/>
        </w:rPr>
        <w:t xml:space="preserve"> l’operazione</w:t>
      </w:r>
      <w:r w:rsidR="001E58D2" w:rsidRPr="00C90482">
        <w:rPr>
          <w:rFonts w:ascii="TimesNewRomanPSMT" w:hAnsi="TimesNewRomanPSMT" w:cs="TimesNewRomanPSMT"/>
          <w:color w:val="FF0000"/>
          <w:sz w:val="24"/>
          <w:szCs w:val="24"/>
        </w:rPr>
        <w:t xml:space="preserve"> </w:t>
      </w:r>
      <w:r w:rsidR="00B031DA">
        <w:rPr>
          <w:rFonts w:ascii="TimesNewRomanPSMT" w:hAnsi="TimesNewRomanPSMT" w:cs="TimesNewRomanPSMT"/>
          <w:color w:val="FF0000"/>
          <w:sz w:val="24"/>
          <w:szCs w:val="24"/>
        </w:rPr>
        <w:t>nel</w:t>
      </w:r>
      <w:r w:rsidR="00F23E30">
        <w:rPr>
          <w:rFonts w:ascii="TimesNewRomanPSMT" w:hAnsi="TimesNewRomanPSMT" w:cs="TimesNewRomanPSMT"/>
          <w:color w:val="FF0000"/>
          <w:sz w:val="24"/>
          <w:szCs w:val="24"/>
        </w:rPr>
        <w:t>la</w:t>
      </w:r>
      <w:r w:rsidR="001E58D2" w:rsidRPr="00C90482">
        <w:rPr>
          <w:rFonts w:ascii="TimesNewRomanPSMT" w:hAnsi="TimesNewRomanPSMT" w:cs="TimesNewRomanPSMT"/>
          <w:color w:val="FF0000"/>
          <w:sz w:val="24"/>
          <w:szCs w:val="24"/>
        </w:rPr>
        <w:t xml:space="preserve"> programmazione 2014/2020. </w:t>
      </w:r>
    </w:p>
    <w:p w14:paraId="46A84565" w14:textId="2261DF1B" w:rsidR="005E7ADB" w:rsidRPr="00C90482" w:rsidRDefault="001E58D2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 w:rsidRPr="00C90482">
        <w:rPr>
          <w:rFonts w:ascii="TimesNewRomanPSMT" w:hAnsi="TimesNewRomanPSMT" w:cs="TimesNewRomanPSMT"/>
          <w:color w:val="FF0000"/>
          <w:sz w:val="24"/>
          <w:szCs w:val="24"/>
        </w:rPr>
        <w:t>Tale scelta è giustificata al fine di assicurare la continuità con l’attuale periodo di programmazione e per il livello di ruralità delle aree B del PSR 2007 – 2013 (in Lombardia, le nuove aree B, individuate in base alla metodologia di classificazione adottata a livello nazionale per il PSR 2014 - 2020, nel precedente periodo di programmazione erano classificate come aree A, quindi con un livello di ruralità inferiore a quelle già esistenti).</w:t>
      </w:r>
    </w:p>
    <w:p w14:paraId="4D247C2C" w14:textId="77777777" w:rsidR="005E7ADB" w:rsidRPr="00C90482" w:rsidRDefault="005E7ADB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</w:p>
    <w:p w14:paraId="66A3C502" w14:textId="5B1A9F40" w:rsidR="00135F93" w:rsidRPr="004C311A" w:rsidRDefault="001E58D2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4C311A">
        <w:rPr>
          <w:rFonts w:ascii="TimesNewRomanPSMT" w:hAnsi="TimesNewRomanPSMT" w:cs="TimesNewRomanPSMT"/>
          <w:color w:val="FF0000"/>
          <w:sz w:val="24"/>
          <w:szCs w:val="24"/>
        </w:rPr>
        <w:t xml:space="preserve">La popolazione del territorio candidato deve essere compresa tra i </w:t>
      </w:r>
      <w:r w:rsidR="002961AC" w:rsidRPr="004C311A">
        <w:rPr>
          <w:rFonts w:ascii="TimesNewRomanPSMT" w:hAnsi="TimesNewRomanPSMT" w:cs="TimesNewRomanPSMT"/>
          <w:color w:val="FF0000"/>
          <w:sz w:val="24"/>
          <w:szCs w:val="24"/>
        </w:rPr>
        <w:t>5</w:t>
      </w:r>
      <w:r w:rsidRPr="004C311A">
        <w:rPr>
          <w:rFonts w:ascii="TimesNewRomanPSMT" w:hAnsi="TimesNewRomanPSMT" w:cs="TimesNewRomanPSMT"/>
          <w:color w:val="FF0000"/>
          <w:sz w:val="24"/>
          <w:szCs w:val="24"/>
        </w:rPr>
        <w:t xml:space="preserve">0.000 e i </w:t>
      </w:r>
      <w:r w:rsidR="002961AC" w:rsidRPr="004C311A">
        <w:rPr>
          <w:rFonts w:ascii="TimesNewRomanPSMT" w:hAnsi="TimesNewRomanPSMT" w:cs="TimesNewRomanPSMT"/>
          <w:color w:val="FF0000"/>
          <w:sz w:val="24"/>
          <w:szCs w:val="24"/>
        </w:rPr>
        <w:t>200</w:t>
      </w:r>
      <w:r w:rsidR="00A037E6" w:rsidRPr="004C311A">
        <w:rPr>
          <w:rFonts w:ascii="TimesNewRomanPSMT" w:hAnsi="TimesNewRomanPSMT" w:cs="TimesNewRomanPSMT"/>
          <w:color w:val="FF0000"/>
          <w:sz w:val="24"/>
          <w:szCs w:val="24"/>
        </w:rPr>
        <w:t>.</w:t>
      </w:r>
      <w:r w:rsidRPr="004C311A">
        <w:rPr>
          <w:rFonts w:ascii="TimesNewRomanPSMT" w:hAnsi="TimesNewRomanPSMT" w:cs="TimesNewRomanPSMT"/>
          <w:color w:val="FF0000"/>
          <w:sz w:val="24"/>
          <w:szCs w:val="24"/>
        </w:rPr>
        <w:t>000 abitanti.</w:t>
      </w:r>
      <w:r w:rsidR="009A17B6">
        <w:rPr>
          <w:rFonts w:ascii="TimesNewRomanPSMT" w:hAnsi="TimesNewRomanPSMT" w:cs="TimesNewRomanPSMT"/>
          <w:color w:val="FF0000"/>
          <w:sz w:val="24"/>
          <w:szCs w:val="24"/>
        </w:rPr>
        <w:t xml:space="preserve">  </w:t>
      </w:r>
    </w:p>
    <w:p w14:paraId="3A764A09" w14:textId="2679CAFA" w:rsidR="00135F93" w:rsidRPr="0043044D" w:rsidRDefault="00135F93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 w:rsidRPr="004C311A">
        <w:rPr>
          <w:rFonts w:ascii="TimesNewRomanPSMT" w:hAnsi="TimesNewRomanPSMT" w:cs="TimesNewRomanPSMT"/>
          <w:color w:val="FF0000"/>
          <w:sz w:val="24"/>
          <w:szCs w:val="24"/>
        </w:rPr>
        <w:t>Per permettere una più efficace specificazione delle Strategie di Sviluppo Locale (SSL</w:t>
      </w:r>
      <w:r w:rsidRPr="0043044D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), </w:t>
      </w:r>
      <w:r w:rsidR="009A17B6" w:rsidRPr="0043044D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possono essere individuate </w:t>
      </w:r>
      <w:r w:rsidRPr="0043044D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le zone di intervento prioritarie ed esprim</w:t>
      </w:r>
      <w:r w:rsidR="009A17B6" w:rsidRPr="0043044D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ere</w:t>
      </w:r>
      <w:r w:rsidRPr="0043044D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le deroghe al limite superiore o inferiore nelle zone ad alta o bassa densità demografica e/o che richiedono l’inclusione di territori contermini e coerenti in termini geografici, sociali, economici e culturali</w:t>
      </w:r>
      <w:r w:rsidR="009A17B6" w:rsidRPr="0043044D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.</w:t>
      </w:r>
    </w:p>
    <w:p w14:paraId="5CDFA119" w14:textId="0A875BB0" w:rsidR="002961AC" w:rsidRPr="002961AC" w:rsidRDefault="002961AC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  <w:highlight w:val="yellow"/>
        </w:rPr>
      </w:pPr>
    </w:p>
    <w:bookmarkEnd w:id="1"/>
    <w:p w14:paraId="486F8423" w14:textId="6553A561" w:rsidR="00C90482" w:rsidRPr="00C90482" w:rsidRDefault="00C90482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  <w:r w:rsidRPr="00C90482">
        <w:rPr>
          <w:rFonts w:ascii="TimesNewRomanPSMT" w:hAnsi="TimesNewRomanPSMT" w:cs="TimesNewRomanPSMT"/>
          <w:color w:val="FF0000"/>
          <w:sz w:val="24"/>
          <w:szCs w:val="24"/>
        </w:rPr>
        <w:lastRenderedPageBreak/>
        <w:t xml:space="preserve">Il territorio coinvolto nelle strategie di sviluppo locale è di kmq 14.273,41 pari al 59,8% del totale della superficie regionale. </w:t>
      </w:r>
    </w:p>
    <w:p w14:paraId="7CBD824E" w14:textId="77777777" w:rsidR="005E7ADB" w:rsidRPr="00C90482" w:rsidRDefault="005E7ADB" w:rsidP="00C90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NewRomanPSMT" w:hAnsi="TimesNewRomanPSMT" w:cs="TimesNewRomanPSMT"/>
          <w:color w:val="FF0000"/>
          <w:sz w:val="24"/>
          <w:szCs w:val="24"/>
        </w:rPr>
      </w:pPr>
    </w:p>
    <w:p w14:paraId="772B542A" w14:textId="77777777" w:rsidR="005B7683" w:rsidRPr="00C90482" w:rsidRDefault="00CE66E2" w:rsidP="005B7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 w:rsidRPr="00C9048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>S</w:t>
      </w:r>
      <w:r w:rsidR="003E48C3" w:rsidRPr="00C9048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>TRATEGIA</w:t>
      </w:r>
    </w:p>
    <w:p w14:paraId="44F98308" w14:textId="77777777" w:rsidR="008657F4" w:rsidRPr="00C90482" w:rsidRDefault="008657F4" w:rsidP="005B7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</w:p>
    <w:p w14:paraId="01E203DA" w14:textId="1F20FFE7" w:rsidR="005B7683" w:rsidRPr="00C90482" w:rsidRDefault="008657F4" w:rsidP="005B7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NewRomanPSMT" w:hAnsi="TimesNewRomanPSMT" w:cs="TimesNewRomanPSMT"/>
          <w:color w:val="FF0000"/>
          <w:sz w:val="24"/>
          <w:szCs w:val="24"/>
        </w:rPr>
      </w:pPr>
      <w:r w:rsidRPr="00C90482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Per favorire la pianificazione di Strategie capaci di favorire le connessioni fra gli attori pubblici e/o privati e le risorse socioeconomiche territoriali, le SSL devono puntare a specifici ambiti tematici, </w:t>
      </w:r>
      <w:r w:rsidR="005B7683" w:rsidRPr="00C90482">
        <w:rPr>
          <w:rFonts w:ascii="TimesNewRomanPSMT" w:hAnsi="TimesNewRomanPSMT" w:cs="TimesNewRomanPSMT"/>
          <w:color w:val="FF0000"/>
          <w:sz w:val="24"/>
          <w:szCs w:val="24"/>
        </w:rPr>
        <w:t>coerenti con i fabbisogni emergenti e le opportunità individuate nei territori, definiti</w:t>
      </w:r>
      <w:r w:rsidR="005B7683" w:rsidRPr="00C9048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  <w:t xml:space="preserve"> </w:t>
      </w:r>
      <w:r w:rsidR="005B7683" w:rsidRPr="00C90482">
        <w:rPr>
          <w:rFonts w:ascii="TimesNewRomanPSMT" w:hAnsi="TimesNewRomanPSMT" w:cs="TimesNewRomanPSMT"/>
          <w:color w:val="FF0000"/>
          <w:sz w:val="24"/>
          <w:szCs w:val="24"/>
        </w:rPr>
        <w:t xml:space="preserve">tenendo conto delle potenzialità locali, che abbiano carattere di integrazione e </w:t>
      </w:r>
      <w:proofErr w:type="spellStart"/>
      <w:r w:rsidR="005B7683" w:rsidRPr="00C90482">
        <w:rPr>
          <w:rFonts w:ascii="TimesNewRomanPSMT" w:hAnsi="TimesNewRomanPSMT" w:cs="TimesNewRomanPSMT"/>
          <w:color w:val="FF0000"/>
          <w:sz w:val="24"/>
          <w:szCs w:val="24"/>
        </w:rPr>
        <w:t>multisettorialità</w:t>
      </w:r>
      <w:proofErr w:type="spellEnd"/>
      <w:r w:rsidR="005B7683" w:rsidRPr="00C90482">
        <w:rPr>
          <w:rFonts w:ascii="TimesNewRomanPSMT" w:hAnsi="TimesNewRomanPSMT" w:cs="TimesNewRomanPSMT"/>
          <w:color w:val="FF0000"/>
          <w:sz w:val="24"/>
          <w:szCs w:val="24"/>
        </w:rPr>
        <w:t xml:space="preserve"> e portino elementi innovativi nel contesto locale, in cui i partner coinvolti dispongano di capacità e competenze specifiche.</w:t>
      </w:r>
    </w:p>
    <w:p w14:paraId="23DE6B9C" w14:textId="0EC5F27F" w:rsidR="00214075" w:rsidRPr="00C90482" w:rsidRDefault="00CE66E2" w:rsidP="003E48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 w:rsidRPr="00C90482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Tenuto conto delle possibilità e dei vincoli cui si trovano di fronte i territori rurali, le tematiche di riferimento per </w:t>
      </w:r>
      <w:r w:rsidR="006631F3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>le SSL</w:t>
      </w:r>
      <w:r w:rsidRPr="00C90482"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  <w:t xml:space="preserve"> saranno indicate nelle disposizioni attuative. </w:t>
      </w:r>
    </w:p>
    <w:p w14:paraId="6650B79A" w14:textId="26FF0E35" w:rsidR="002360F0" w:rsidRPr="006631F3" w:rsidRDefault="002360F0" w:rsidP="0023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it-IT"/>
        </w:rPr>
      </w:pPr>
      <w:r w:rsidRPr="006631F3">
        <w:rPr>
          <w:rFonts w:ascii="Times New Roman" w:hAnsi="Times New Roman" w:cs="Times New Roman"/>
          <w:b/>
          <w:bCs/>
          <w:color w:val="FF0000"/>
          <w:sz w:val="24"/>
          <w:szCs w:val="24"/>
        </w:rPr>
        <w:t>PARTENARIATO</w:t>
      </w:r>
    </w:p>
    <w:p w14:paraId="4245542A" w14:textId="77777777" w:rsidR="002360F0" w:rsidRPr="00C90482" w:rsidRDefault="002360F0" w:rsidP="0023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641424AF" w14:textId="41A06B68" w:rsidR="002360F0" w:rsidRPr="00C90482" w:rsidRDefault="002360F0" w:rsidP="0023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90482">
        <w:rPr>
          <w:rFonts w:ascii="Times New Roman" w:hAnsi="Times New Roman" w:cs="Times New Roman"/>
          <w:color w:val="FF0000"/>
          <w:sz w:val="24"/>
          <w:szCs w:val="24"/>
        </w:rPr>
        <w:t>Il partenariato deve essere composto da:</w:t>
      </w:r>
    </w:p>
    <w:p w14:paraId="73D04349" w14:textId="77777777" w:rsidR="002360F0" w:rsidRPr="00C90482" w:rsidRDefault="002360F0" w:rsidP="0023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7B22F13" w14:textId="77777777" w:rsidR="002360F0" w:rsidRPr="00C90482" w:rsidRDefault="002360F0" w:rsidP="0023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90482">
        <w:rPr>
          <w:rFonts w:ascii="Times New Roman" w:hAnsi="Times New Roman" w:cs="Times New Roman"/>
          <w:color w:val="FF0000"/>
          <w:sz w:val="24"/>
          <w:szCs w:val="24"/>
        </w:rPr>
        <w:t>- soggetti pubblici e privati rappresentativi del territorio selezionato e della strategia proposta;</w:t>
      </w:r>
    </w:p>
    <w:p w14:paraId="29C4A094" w14:textId="77777777" w:rsidR="002360F0" w:rsidRPr="00C90482" w:rsidRDefault="002360F0" w:rsidP="0023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90482">
        <w:rPr>
          <w:rFonts w:ascii="Times New Roman" w:hAnsi="Times New Roman" w:cs="Times New Roman"/>
          <w:color w:val="FF0000"/>
          <w:sz w:val="24"/>
          <w:szCs w:val="24"/>
        </w:rPr>
        <w:t>- soggetti pubblici e privati che si occupano stabilmente delle materie sulle quali la strategia di sviluppo si basa.</w:t>
      </w:r>
    </w:p>
    <w:p w14:paraId="136C98B0" w14:textId="77777777" w:rsidR="002360F0" w:rsidRPr="00C90482" w:rsidRDefault="002360F0" w:rsidP="0023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7511BD6" w14:textId="7C102BC8" w:rsidR="002360F0" w:rsidRPr="00C90482" w:rsidRDefault="002360F0" w:rsidP="002360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90482">
        <w:rPr>
          <w:rFonts w:ascii="Times New Roman" w:hAnsi="Times New Roman" w:cs="Times New Roman"/>
          <w:color w:val="FF0000"/>
          <w:sz w:val="24"/>
          <w:szCs w:val="24"/>
        </w:rPr>
        <w:t>I partenariati devono essere costituiti in Gruppi di Azione Locale (GAL), composti da rappresentanti degli interessi socio-economici locali, pubblici e privati e nei quali nessun singolo gruppo di interesse controlli il processo decisionale.</w:t>
      </w:r>
    </w:p>
    <w:p w14:paraId="1592CE23" w14:textId="77777777" w:rsidR="002360F0" w:rsidRPr="00C90482" w:rsidRDefault="002360F0" w:rsidP="00214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14:paraId="0BB0D688" w14:textId="64F7CB3D" w:rsidR="00214075" w:rsidRPr="00C90482" w:rsidRDefault="00214075" w:rsidP="00AE7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00C90482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Numero indicativo di GAL</w:t>
      </w:r>
    </w:p>
    <w:p w14:paraId="08E56EC5" w14:textId="1EC39D3D" w:rsidR="00214075" w:rsidRPr="00C90482" w:rsidRDefault="00214075" w:rsidP="002140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Segoe UI" w:eastAsia="Times New Roman" w:hAnsi="Segoe UI" w:cs="Segoe UI"/>
          <w:color w:val="FF0000"/>
          <w:sz w:val="21"/>
          <w:szCs w:val="21"/>
          <w:lang w:eastAsia="it-IT"/>
        </w:rPr>
      </w:pPr>
      <w:r w:rsidRPr="00C90482">
        <w:rPr>
          <w:rFonts w:ascii="Times New Roman" w:hAnsi="Times New Roman" w:cs="Times New Roman"/>
          <w:color w:val="FF0000"/>
          <w:sz w:val="24"/>
          <w:szCs w:val="24"/>
        </w:rPr>
        <w:t>Al fine di favorire la concentrazione degli interventi in territori più marginali o comunque su situazioni locali che esprimono effettive esigenze e potenzialità in termini di sviluppo locale ed al fine di spingere ad una progettualità di qualità che possa esprimere un valore aggiunto misurabile, è prevista la selezione di un numero indicativo di</w:t>
      </w:r>
      <w:r w:rsidRPr="002E716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E716E" w:rsidRPr="002E716E">
        <w:rPr>
          <w:rFonts w:ascii="Times New Roman" w:hAnsi="Times New Roman" w:cs="Times New Roman"/>
          <w:color w:val="FF0000"/>
          <w:sz w:val="24"/>
          <w:szCs w:val="24"/>
        </w:rPr>
        <w:t xml:space="preserve">14 </w:t>
      </w:r>
      <w:r w:rsidRPr="00C90482">
        <w:rPr>
          <w:rFonts w:ascii="Times New Roman" w:hAnsi="Times New Roman" w:cs="Times New Roman"/>
          <w:color w:val="FF0000"/>
          <w:sz w:val="24"/>
          <w:szCs w:val="24"/>
        </w:rPr>
        <w:t>Gruppi di azione locale.</w:t>
      </w:r>
    </w:p>
    <w:p w14:paraId="63ACF610" w14:textId="77777777" w:rsidR="00214075" w:rsidRPr="00CE66E2" w:rsidRDefault="00214075" w:rsidP="00CE66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7B60A7DA" w14:textId="77777777" w:rsidR="00CE66E2" w:rsidRDefault="00CE66E2" w:rsidP="00CE66E2"/>
    <w:p w14:paraId="2C0D92DB" w14:textId="1B060E16" w:rsidR="00B00C19" w:rsidRDefault="00B00C1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52571791" w14:textId="77777777" w:rsidR="00662423" w:rsidRDefault="00662423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FC7A01F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8568074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Descrizione dell'utilizzo del kit di avviamento LEADER di cui all'articolo 43 del regolamento (UE)</w:t>
      </w:r>
    </w:p>
    <w:p w14:paraId="398ACF03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n. 1305/2013 in quanto tipo specifico di supporto preparatorio, se necessario</w:t>
      </w:r>
    </w:p>
    <w:p w14:paraId="1D347D02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1AC842E" w14:textId="74C4B05E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Non pertinente, in considerazione del fatto che non è prevista l’attivazione</w:t>
      </w:r>
    </w:p>
    <w:p w14:paraId="38AEF57E" w14:textId="2B0CB99E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239A9E2" w14:textId="77777777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52579301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4AF7359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Descrizione del sistema di presentazione permanente dei progetti di cooperazione LEADER di cui</w:t>
      </w:r>
    </w:p>
    <w:p w14:paraId="59E8C99D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all'articolo 44, paragrafo 3, del regolamento (UE) n. 1305/2013</w:t>
      </w:r>
    </w:p>
    <w:p w14:paraId="528B7349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AD29CE6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CD9F42E" w14:textId="19370185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Non pertinente</w:t>
      </w:r>
    </w:p>
    <w:p w14:paraId="6E420A8E" w14:textId="769BCF1C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52656A2B" w14:textId="77777777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0794D46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896319F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Procedura e scadenze per la selezione delle strategie di sviluppo locale</w:t>
      </w:r>
    </w:p>
    <w:p w14:paraId="64FA8DA1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B1856C4" w14:textId="17A6DD59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Non pertinente</w:t>
      </w:r>
    </w:p>
    <w:p w14:paraId="77865E1E" w14:textId="78D5AD57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867D9F8" w14:textId="77777777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FC59204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97F8430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Giustificazione della selezione, ai fini dell'attuazione della strategia di sviluppo locale, di zone geografiche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la cui popolazione non rientra nei limiti di cui all'articolo 33, paragrafo 6, del regolamento (UE)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n. 1303/2013</w:t>
      </w:r>
    </w:p>
    <w:p w14:paraId="7BFEEC17" w14:textId="77777777" w:rsidR="00B00C19" w:rsidRDefault="00B00C19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DB43992" w14:textId="0321C036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Non pertinente</w:t>
      </w:r>
    </w:p>
    <w:p w14:paraId="40D7852D" w14:textId="271CD39D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7EEE45C" w14:textId="77777777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61182C4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8D23BE5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Coordinamento con gli altri Fondi strutturali e d'investimento europei (di seguito: "i fondi SIE") per quanto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concerne lo sviluppo locale di tipo partecipativo, compresa l'eventuale soluzione adottata per quanto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concerne il ricorso all'opzione del Fondo capofila, e ogni complementarità globale tra i fondi SIE nel</w:t>
      </w:r>
      <w:r w:rsidR="00B00C19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finanziamento del supporto preparatorio</w:t>
      </w:r>
    </w:p>
    <w:p w14:paraId="64509DDA" w14:textId="77777777" w:rsidR="00B00C19" w:rsidRDefault="00B00C19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3C48FFD" w14:textId="42BB6B59" w:rsidR="00804FA7" w:rsidRDefault="00804FA7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Non pertinente, in quanto il CLLD è sostenuto solo dal FEASR.</w:t>
      </w:r>
    </w:p>
    <w:p w14:paraId="2B120B93" w14:textId="6E52E2DD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CD617AA" w14:textId="77777777" w:rsidR="00E647A9" w:rsidRDefault="00E647A9" w:rsidP="00B0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6D47D95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0E27819" w14:textId="3C56DDCD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Eventuale possibilità di versamento di anticipi</w:t>
      </w:r>
    </w:p>
    <w:p w14:paraId="6B87E3DA" w14:textId="77777777" w:rsidR="00E647A9" w:rsidRDefault="00E647A9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B262F0C" w14:textId="573D0EFD" w:rsidR="00804FA7" w:rsidRDefault="00804FA7" w:rsidP="00846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Non pertinente, Non sono previsti pagamenti di anticipi in quanto si tratta di spese immateriali</w:t>
      </w:r>
    </w:p>
    <w:p w14:paraId="5C74F638" w14:textId="0E16BB48" w:rsidR="00E647A9" w:rsidRDefault="00E647A9" w:rsidP="00846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91B7314" w14:textId="77777777" w:rsidR="00E647A9" w:rsidRDefault="00E647A9" w:rsidP="00846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2E7C2A4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022DAE7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Definizione dei compiti dell'autorità di gestione, dell'organismo pagatore e dei GAL nell'ambito di</w:t>
      </w:r>
    </w:p>
    <w:p w14:paraId="3434BB24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LEADER, in particolare per quanto riguarda la procedura di selezione trasparente e non discriminatoria e i</w:t>
      </w:r>
      <w:r w:rsidR="00846347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criteri obiettivi per la selezione di operazioni di cui all'articolo 34, paragrafo 3, lettera b), del regolamento</w:t>
      </w:r>
      <w:r w:rsidR="00846347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(UE) n. 1303/2013</w:t>
      </w:r>
    </w:p>
    <w:p w14:paraId="65FC2B25" w14:textId="77777777" w:rsidR="00846347" w:rsidRDefault="0084634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61006D5" w14:textId="4D1A8967" w:rsidR="00804FA7" w:rsidRDefault="00804FA7" w:rsidP="00846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Non pertinente</w:t>
      </w:r>
    </w:p>
    <w:p w14:paraId="0E1604AB" w14:textId="7DBDDC33" w:rsidR="00E647A9" w:rsidRDefault="00E647A9" w:rsidP="00846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7B586B0" w14:textId="77777777" w:rsidR="00E647A9" w:rsidRDefault="00E647A9" w:rsidP="00846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7FE2CB6D" w14:textId="77777777" w:rsidR="00804FA7" w:rsidRDefault="00804FA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3AA321B0" w14:textId="77777777" w:rsidR="00804FA7" w:rsidRDefault="00804FA7" w:rsidP="00E647A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Descrizione dei meccanismi di coordinamento previsti e delle complementarietà garantite con azioni</w:t>
      </w:r>
      <w:r w:rsidR="00846347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finanziate nel quadro di altre misure di sviluppo rurale, in particolare per quanto riguarda: gli investimenti in</w:t>
      </w:r>
      <w:r w:rsidR="00846347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attività extra-agricole e gli aiuti all'avviamento di imprese a norma dell'articolo 19 del regolamento (UE) n.</w:t>
      </w:r>
      <w:r w:rsidR="00846347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1305/2013, gli investimenti a norma dell'articolo 20 del regolamento (UE) n. 1305/2013, la cooperazione a</w:t>
      </w:r>
      <w:r w:rsidR="00846347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norma dell'articolo 35 del regolamento (UE) n. 1305/2013, in particolare l'attuazione di strategie di sviluppo</w:t>
      </w:r>
      <w:r w:rsidR="00846347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locale condotte attraverso partenariati tra settore pubblico e privato</w:t>
      </w:r>
    </w:p>
    <w:p w14:paraId="1F5037FA" w14:textId="77777777" w:rsidR="00846347" w:rsidRDefault="00846347" w:rsidP="00804FA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63803FE5" w14:textId="09FCF903" w:rsidR="00804FA7" w:rsidRDefault="00804FA7" w:rsidP="00846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Non pertinente, considerata la tipologia dell’operazione e delle spese ammissibili.</w:t>
      </w:r>
    </w:p>
    <w:p w14:paraId="48E9B14B" w14:textId="484375D8" w:rsidR="00E647A9" w:rsidRDefault="00E647A9" w:rsidP="00846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5F0CB303" w14:textId="77777777" w:rsidR="00E647A9" w:rsidRPr="00804FA7" w:rsidRDefault="00E647A9" w:rsidP="008463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sectPr w:rsidR="00E647A9" w:rsidRPr="00804FA7" w:rsidSect="00F60963">
      <w:pgSz w:w="11906" w:h="16838"/>
      <w:pgMar w:top="1418" w:right="907" w:bottom="1134" w:left="85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IGNAMI Francesca (AGRI)" w:date="2022-09-12T11:10:00Z" w:initials="BF(">
    <w:p w14:paraId="76DEBFBB" w14:textId="132A07A9" w:rsidR="00B93745" w:rsidRDefault="00B93745">
      <w:pPr>
        <w:pStyle w:val="Testocommento"/>
      </w:pPr>
      <w:r>
        <w:rPr>
          <w:rStyle w:val="Rimandocommento"/>
        </w:rPr>
        <w:annotationRef/>
      </w:r>
      <w:r>
        <w:t>Non coerente con Allegato 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6DEBFB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DEBFBB" w16cid:durableId="26CDB7D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Abadi&quot;,sans-serif">
    <w:altName w:val="Cambria"/>
    <w:panose1 w:val="00000000000000000000"/>
    <w:charset w:val="00"/>
    <w:family w:val="roman"/>
    <w:notTrueType/>
    <w:pitch w:val="default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4EE4"/>
    <w:multiLevelType w:val="hybridMultilevel"/>
    <w:tmpl w:val="CD8CEA9A"/>
    <w:lvl w:ilvl="0" w:tplc="EA3A67C8">
      <w:numFmt w:val="bullet"/>
      <w:lvlText w:val="-"/>
      <w:lvlJc w:val="left"/>
      <w:pPr>
        <w:ind w:left="36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C30F4"/>
    <w:multiLevelType w:val="hybridMultilevel"/>
    <w:tmpl w:val="069CF470"/>
    <w:lvl w:ilvl="0" w:tplc="70D04DF0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2626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B711D"/>
    <w:multiLevelType w:val="hybridMultilevel"/>
    <w:tmpl w:val="78C809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261EE"/>
    <w:multiLevelType w:val="hybridMultilevel"/>
    <w:tmpl w:val="699CF4BE"/>
    <w:lvl w:ilvl="0" w:tplc="AAB20944">
      <w:numFmt w:val="bullet"/>
      <w:lvlText w:val=""/>
      <w:lvlJc w:val="left"/>
      <w:pPr>
        <w:ind w:left="71" w:hanging="329"/>
      </w:pPr>
      <w:rPr>
        <w:rFonts w:ascii="Symbol" w:eastAsia="Symbol" w:hAnsi="Symbol" w:cs="Symbol" w:hint="default"/>
        <w:w w:val="100"/>
        <w:sz w:val="18"/>
        <w:szCs w:val="18"/>
        <w:lang w:val="it-IT" w:eastAsia="it-IT" w:bidi="it-IT"/>
      </w:rPr>
    </w:lvl>
    <w:lvl w:ilvl="1" w:tplc="CC16E5A8">
      <w:numFmt w:val="bullet"/>
      <w:lvlText w:val="•"/>
      <w:lvlJc w:val="left"/>
      <w:pPr>
        <w:ind w:left="458" w:hanging="329"/>
      </w:pPr>
      <w:rPr>
        <w:rFonts w:hint="default"/>
        <w:lang w:val="it-IT" w:eastAsia="it-IT" w:bidi="it-IT"/>
      </w:rPr>
    </w:lvl>
    <w:lvl w:ilvl="2" w:tplc="E5DA9170">
      <w:numFmt w:val="bullet"/>
      <w:lvlText w:val="•"/>
      <w:lvlJc w:val="left"/>
      <w:pPr>
        <w:ind w:left="836" w:hanging="329"/>
      </w:pPr>
      <w:rPr>
        <w:rFonts w:hint="default"/>
        <w:lang w:val="it-IT" w:eastAsia="it-IT" w:bidi="it-IT"/>
      </w:rPr>
    </w:lvl>
    <w:lvl w:ilvl="3" w:tplc="1C5A170C">
      <w:numFmt w:val="bullet"/>
      <w:lvlText w:val="•"/>
      <w:lvlJc w:val="left"/>
      <w:pPr>
        <w:ind w:left="1214" w:hanging="329"/>
      </w:pPr>
      <w:rPr>
        <w:rFonts w:hint="default"/>
        <w:lang w:val="it-IT" w:eastAsia="it-IT" w:bidi="it-IT"/>
      </w:rPr>
    </w:lvl>
    <w:lvl w:ilvl="4" w:tplc="6D56E924">
      <w:numFmt w:val="bullet"/>
      <w:lvlText w:val="•"/>
      <w:lvlJc w:val="left"/>
      <w:pPr>
        <w:ind w:left="1592" w:hanging="329"/>
      </w:pPr>
      <w:rPr>
        <w:rFonts w:hint="default"/>
        <w:lang w:val="it-IT" w:eastAsia="it-IT" w:bidi="it-IT"/>
      </w:rPr>
    </w:lvl>
    <w:lvl w:ilvl="5" w:tplc="D284C018">
      <w:numFmt w:val="bullet"/>
      <w:lvlText w:val="•"/>
      <w:lvlJc w:val="left"/>
      <w:pPr>
        <w:ind w:left="1970" w:hanging="329"/>
      </w:pPr>
      <w:rPr>
        <w:rFonts w:hint="default"/>
        <w:lang w:val="it-IT" w:eastAsia="it-IT" w:bidi="it-IT"/>
      </w:rPr>
    </w:lvl>
    <w:lvl w:ilvl="6" w:tplc="CBC4B9DA">
      <w:numFmt w:val="bullet"/>
      <w:lvlText w:val="•"/>
      <w:lvlJc w:val="left"/>
      <w:pPr>
        <w:ind w:left="2348" w:hanging="329"/>
      </w:pPr>
      <w:rPr>
        <w:rFonts w:hint="default"/>
        <w:lang w:val="it-IT" w:eastAsia="it-IT" w:bidi="it-IT"/>
      </w:rPr>
    </w:lvl>
    <w:lvl w:ilvl="7" w:tplc="869A5F90">
      <w:numFmt w:val="bullet"/>
      <w:lvlText w:val="•"/>
      <w:lvlJc w:val="left"/>
      <w:pPr>
        <w:ind w:left="2726" w:hanging="329"/>
      </w:pPr>
      <w:rPr>
        <w:rFonts w:hint="default"/>
        <w:lang w:val="it-IT" w:eastAsia="it-IT" w:bidi="it-IT"/>
      </w:rPr>
    </w:lvl>
    <w:lvl w:ilvl="8" w:tplc="71F8AE98">
      <w:numFmt w:val="bullet"/>
      <w:lvlText w:val="•"/>
      <w:lvlJc w:val="left"/>
      <w:pPr>
        <w:ind w:left="3104" w:hanging="329"/>
      </w:pPr>
      <w:rPr>
        <w:rFonts w:hint="default"/>
        <w:lang w:val="it-IT" w:eastAsia="it-IT" w:bidi="it-IT"/>
      </w:rPr>
    </w:lvl>
  </w:abstractNum>
  <w:abstractNum w:abstractNumId="4" w15:restartNumberingAfterBreak="0">
    <w:nsid w:val="21D101B1"/>
    <w:multiLevelType w:val="hybridMultilevel"/>
    <w:tmpl w:val="387A1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774D5"/>
    <w:multiLevelType w:val="hybridMultilevel"/>
    <w:tmpl w:val="DC58DB66"/>
    <w:lvl w:ilvl="0" w:tplc="93DA9F5A">
      <w:numFmt w:val="bullet"/>
      <w:lvlText w:val="-"/>
      <w:lvlJc w:val="left"/>
      <w:pPr>
        <w:ind w:left="43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6" w15:restartNumberingAfterBreak="0">
    <w:nsid w:val="2BC96664"/>
    <w:multiLevelType w:val="hybridMultilevel"/>
    <w:tmpl w:val="9F0401AA"/>
    <w:lvl w:ilvl="0" w:tplc="46B26A30">
      <w:numFmt w:val="bullet"/>
      <w:lvlText w:val=""/>
      <w:lvlJc w:val="left"/>
      <w:pPr>
        <w:ind w:left="818" w:hanging="21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22E4FC6C">
      <w:numFmt w:val="bullet"/>
      <w:lvlText w:val="•"/>
      <w:lvlJc w:val="left"/>
      <w:pPr>
        <w:ind w:left="1801" w:hanging="210"/>
      </w:pPr>
      <w:rPr>
        <w:rFonts w:hint="default"/>
        <w:lang w:val="it-IT" w:eastAsia="en-US" w:bidi="ar-SA"/>
      </w:rPr>
    </w:lvl>
    <w:lvl w:ilvl="2" w:tplc="84A8A15A">
      <w:numFmt w:val="bullet"/>
      <w:lvlText w:val="•"/>
      <w:lvlJc w:val="left"/>
      <w:pPr>
        <w:ind w:left="2783" w:hanging="210"/>
      </w:pPr>
      <w:rPr>
        <w:rFonts w:hint="default"/>
        <w:lang w:val="it-IT" w:eastAsia="en-US" w:bidi="ar-SA"/>
      </w:rPr>
    </w:lvl>
    <w:lvl w:ilvl="3" w:tplc="9C2604AC">
      <w:numFmt w:val="bullet"/>
      <w:lvlText w:val="•"/>
      <w:lvlJc w:val="left"/>
      <w:pPr>
        <w:ind w:left="3764" w:hanging="210"/>
      </w:pPr>
      <w:rPr>
        <w:rFonts w:hint="default"/>
        <w:lang w:val="it-IT" w:eastAsia="en-US" w:bidi="ar-SA"/>
      </w:rPr>
    </w:lvl>
    <w:lvl w:ilvl="4" w:tplc="79F2D954">
      <w:numFmt w:val="bullet"/>
      <w:lvlText w:val="•"/>
      <w:lvlJc w:val="left"/>
      <w:pPr>
        <w:ind w:left="4746" w:hanging="210"/>
      </w:pPr>
      <w:rPr>
        <w:rFonts w:hint="default"/>
        <w:lang w:val="it-IT" w:eastAsia="en-US" w:bidi="ar-SA"/>
      </w:rPr>
    </w:lvl>
    <w:lvl w:ilvl="5" w:tplc="F64C540A">
      <w:numFmt w:val="bullet"/>
      <w:lvlText w:val="•"/>
      <w:lvlJc w:val="left"/>
      <w:pPr>
        <w:ind w:left="5728" w:hanging="210"/>
      </w:pPr>
      <w:rPr>
        <w:rFonts w:hint="default"/>
        <w:lang w:val="it-IT" w:eastAsia="en-US" w:bidi="ar-SA"/>
      </w:rPr>
    </w:lvl>
    <w:lvl w:ilvl="6" w:tplc="5E041AB6">
      <w:numFmt w:val="bullet"/>
      <w:lvlText w:val="•"/>
      <w:lvlJc w:val="left"/>
      <w:pPr>
        <w:ind w:left="6709" w:hanging="210"/>
      </w:pPr>
      <w:rPr>
        <w:rFonts w:hint="default"/>
        <w:lang w:val="it-IT" w:eastAsia="en-US" w:bidi="ar-SA"/>
      </w:rPr>
    </w:lvl>
    <w:lvl w:ilvl="7" w:tplc="01C2EF92">
      <w:numFmt w:val="bullet"/>
      <w:lvlText w:val="•"/>
      <w:lvlJc w:val="left"/>
      <w:pPr>
        <w:ind w:left="7691" w:hanging="210"/>
      </w:pPr>
      <w:rPr>
        <w:rFonts w:hint="default"/>
        <w:lang w:val="it-IT" w:eastAsia="en-US" w:bidi="ar-SA"/>
      </w:rPr>
    </w:lvl>
    <w:lvl w:ilvl="8" w:tplc="35A2DBB6">
      <w:numFmt w:val="bullet"/>
      <w:lvlText w:val="•"/>
      <w:lvlJc w:val="left"/>
      <w:pPr>
        <w:ind w:left="8672" w:hanging="210"/>
      </w:pPr>
      <w:rPr>
        <w:rFonts w:hint="default"/>
        <w:lang w:val="it-IT" w:eastAsia="en-US" w:bidi="ar-SA"/>
      </w:rPr>
    </w:lvl>
  </w:abstractNum>
  <w:abstractNum w:abstractNumId="7" w15:restartNumberingAfterBreak="0">
    <w:nsid w:val="32CD30C8"/>
    <w:multiLevelType w:val="hybridMultilevel"/>
    <w:tmpl w:val="B4F23B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C5CCA"/>
    <w:multiLevelType w:val="hybridMultilevel"/>
    <w:tmpl w:val="F5267B48"/>
    <w:lvl w:ilvl="0" w:tplc="FB12AA1E">
      <w:numFmt w:val="bullet"/>
      <w:lvlText w:val=""/>
      <w:lvlJc w:val="left"/>
      <w:pPr>
        <w:ind w:left="818" w:hanging="21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C46AC44A">
      <w:numFmt w:val="bullet"/>
      <w:lvlText w:val="•"/>
      <w:lvlJc w:val="left"/>
      <w:pPr>
        <w:ind w:left="1801" w:hanging="210"/>
      </w:pPr>
      <w:rPr>
        <w:rFonts w:hint="default"/>
        <w:lang w:val="it-IT" w:eastAsia="en-US" w:bidi="ar-SA"/>
      </w:rPr>
    </w:lvl>
    <w:lvl w:ilvl="2" w:tplc="F6943A54">
      <w:numFmt w:val="bullet"/>
      <w:lvlText w:val="•"/>
      <w:lvlJc w:val="left"/>
      <w:pPr>
        <w:ind w:left="2783" w:hanging="210"/>
      </w:pPr>
      <w:rPr>
        <w:rFonts w:hint="default"/>
        <w:lang w:val="it-IT" w:eastAsia="en-US" w:bidi="ar-SA"/>
      </w:rPr>
    </w:lvl>
    <w:lvl w:ilvl="3" w:tplc="02CA5FDA">
      <w:numFmt w:val="bullet"/>
      <w:lvlText w:val="•"/>
      <w:lvlJc w:val="left"/>
      <w:pPr>
        <w:ind w:left="3764" w:hanging="210"/>
      </w:pPr>
      <w:rPr>
        <w:rFonts w:hint="default"/>
        <w:lang w:val="it-IT" w:eastAsia="en-US" w:bidi="ar-SA"/>
      </w:rPr>
    </w:lvl>
    <w:lvl w:ilvl="4" w:tplc="C8223CFC">
      <w:numFmt w:val="bullet"/>
      <w:lvlText w:val="•"/>
      <w:lvlJc w:val="left"/>
      <w:pPr>
        <w:ind w:left="4746" w:hanging="210"/>
      </w:pPr>
      <w:rPr>
        <w:rFonts w:hint="default"/>
        <w:lang w:val="it-IT" w:eastAsia="en-US" w:bidi="ar-SA"/>
      </w:rPr>
    </w:lvl>
    <w:lvl w:ilvl="5" w:tplc="DEBA2AEE">
      <w:numFmt w:val="bullet"/>
      <w:lvlText w:val="•"/>
      <w:lvlJc w:val="left"/>
      <w:pPr>
        <w:ind w:left="5728" w:hanging="210"/>
      </w:pPr>
      <w:rPr>
        <w:rFonts w:hint="default"/>
        <w:lang w:val="it-IT" w:eastAsia="en-US" w:bidi="ar-SA"/>
      </w:rPr>
    </w:lvl>
    <w:lvl w:ilvl="6" w:tplc="5F2C7F24">
      <w:numFmt w:val="bullet"/>
      <w:lvlText w:val="•"/>
      <w:lvlJc w:val="left"/>
      <w:pPr>
        <w:ind w:left="6709" w:hanging="210"/>
      </w:pPr>
      <w:rPr>
        <w:rFonts w:hint="default"/>
        <w:lang w:val="it-IT" w:eastAsia="en-US" w:bidi="ar-SA"/>
      </w:rPr>
    </w:lvl>
    <w:lvl w:ilvl="7" w:tplc="0F20954A">
      <w:numFmt w:val="bullet"/>
      <w:lvlText w:val="•"/>
      <w:lvlJc w:val="left"/>
      <w:pPr>
        <w:ind w:left="7691" w:hanging="210"/>
      </w:pPr>
      <w:rPr>
        <w:rFonts w:hint="default"/>
        <w:lang w:val="it-IT" w:eastAsia="en-US" w:bidi="ar-SA"/>
      </w:rPr>
    </w:lvl>
    <w:lvl w:ilvl="8" w:tplc="D4FEBB4E">
      <w:numFmt w:val="bullet"/>
      <w:lvlText w:val="•"/>
      <w:lvlJc w:val="left"/>
      <w:pPr>
        <w:ind w:left="8672" w:hanging="210"/>
      </w:pPr>
      <w:rPr>
        <w:rFonts w:hint="default"/>
        <w:lang w:val="it-IT" w:eastAsia="en-US" w:bidi="ar-SA"/>
      </w:rPr>
    </w:lvl>
  </w:abstractNum>
  <w:abstractNum w:abstractNumId="9" w15:restartNumberingAfterBreak="0">
    <w:nsid w:val="3FBD7B7E"/>
    <w:multiLevelType w:val="hybridMultilevel"/>
    <w:tmpl w:val="0270E440"/>
    <w:lvl w:ilvl="0" w:tplc="3D2C40E6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FB636C"/>
    <w:multiLevelType w:val="hybridMultilevel"/>
    <w:tmpl w:val="C9C649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D96BF2"/>
    <w:multiLevelType w:val="hybridMultilevel"/>
    <w:tmpl w:val="BFA6E81A"/>
    <w:lvl w:ilvl="0" w:tplc="EF3A2134">
      <w:numFmt w:val="bullet"/>
      <w:lvlText w:val="•"/>
      <w:lvlJc w:val="left"/>
      <w:pPr>
        <w:ind w:left="407" w:hanging="336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it-IT" w:eastAsia="it-IT" w:bidi="it-IT"/>
      </w:rPr>
    </w:lvl>
    <w:lvl w:ilvl="1" w:tplc="18E0AC22">
      <w:numFmt w:val="bullet"/>
      <w:lvlText w:val="•"/>
      <w:lvlJc w:val="left"/>
      <w:pPr>
        <w:ind w:left="746" w:hanging="336"/>
      </w:pPr>
      <w:rPr>
        <w:rFonts w:hint="default"/>
        <w:lang w:val="it-IT" w:eastAsia="it-IT" w:bidi="it-IT"/>
      </w:rPr>
    </w:lvl>
    <w:lvl w:ilvl="2" w:tplc="13FAAA86">
      <w:numFmt w:val="bullet"/>
      <w:lvlText w:val="•"/>
      <w:lvlJc w:val="left"/>
      <w:pPr>
        <w:ind w:left="1092" w:hanging="336"/>
      </w:pPr>
      <w:rPr>
        <w:rFonts w:hint="default"/>
        <w:lang w:val="it-IT" w:eastAsia="it-IT" w:bidi="it-IT"/>
      </w:rPr>
    </w:lvl>
    <w:lvl w:ilvl="3" w:tplc="5A746BB2">
      <w:numFmt w:val="bullet"/>
      <w:lvlText w:val="•"/>
      <w:lvlJc w:val="left"/>
      <w:pPr>
        <w:ind w:left="1438" w:hanging="336"/>
      </w:pPr>
      <w:rPr>
        <w:rFonts w:hint="default"/>
        <w:lang w:val="it-IT" w:eastAsia="it-IT" w:bidi="it-IT"/>
      </w:rPr>
    </w:lvl>
    <w:lvl w:ilvl="4" w:tplc="0F9E91EA">
      <w:numFmt w:val="bullet"/>
      <w:lvlText w:val="•"/>
      <w:lvlJc w:val="left"/>
      <w:pPr>
        <w:ind w:left="1784" w:hanging="336"/>
      </w:pPr>
      <w:rPr>
        <w:rFonts w:hint="default"/>
        <w:lang w:val="it-IT" w:eastAsia="it-IT" w:bidi="it-IT"/>
      </w:rPr>
    </w:lvl>
    <w:lvl w:ilvl="5" w:tplc="65DE8A72">
      <w:numFmt w:val="bullet"/>
      <w:lvlText w:val="•"/>
      <w:lvlJc w:val="left"/>
      <w:pPr>
        <w:ind w:left="2130" w:hanging="336"/>
      </w:pPr>
      <w:rPr>
        <w:rFonts w:hint="default"/>
        <w:lang w:val="it-IT" w:eastAsia="it-IT" w:bidi="it-IT"/>
      </w:rPr>
    </w:lvl>
    <w:lvl w:ilvl="6" w:tplc="A82E9FC4">
      <w:numFmt w:val="bullet"/>
      <w:lvlText w:val="•"/>
      <w:lvlJc w:val="left"/>
      <w:pPr>
        <w:ind w:left="2476" w:hanging="336"/>
      </w:pPr>
      <w:rPr>
        <w:rFonts w:hint="default"/>
        <w:lang w:val="it-IT" w:eastAsia="it-IT" w:bidi="it-IT"/>
      </w:rPr>
    </w:lvl>
    <w:lvl w:ilvl="7" w:tplc="CF72DD88">
      <w:numFmt w:val="bullet"/>
      <w:lvlText w:val="•"/>
      <w:lvlJc w:val="left"/>
      <w:pPr>
        <w:ind w:left="2822" w:hanging="336"/>
      </w:pPr>
      <w:rPr>
        <w:rFonts w:hint="default"/>
        <w:lang w:val="it-IT" w:eastAsia="it-IT" w:bidi="it-IT"/>
      </w:rPr>
    </w:lvl>
    <w:lvl w:ilvl="8" w:tplc="30D014E4">
      <w:numFmt w:val="bullet"/>
      <w:lvlText w:val="•"/>
      <w:lvlJc w:val="left"/>
      <w:pPr>
        <w:ind w:left="3168" w:hanging="336"/>
      </w:pPr>
      <w:rPr>
        <w:rFonts w:hint="default"/>
        <w:lang w:val="it-IT" w:eastAsia="it-IT" w:bidi="it-IT"/>
      </w:rPr>
    </w:lvl>
  </w:abstractNum>
  <w:abstractNum w:abstractNumId="12" w15:restartNumberingAfterBreak="0">
    <w:nsid w:val="55457055"/>
    <w:multiLevelType w:val="multilevel"/>
    <w:tmpl w:val="62D8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EF7813"/>
    <w:multiLevelType w:val="hybridMultilevel"/>
    <w:tmpl w:val="28246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B5605"/>
    <w:multiLevelType w:val="hybridMultilevel"/>
    <w:tmpl w:val="839C9634"/>
    <w:lvl w:ilvl="0" w:tplc="1A2205F2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D62698"/>
    <w:multiLevelType w:val="hybridMultilevel"/>
    <w:tmpl w:val="7C9A7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A6665"/>
    <w:multiLevelType w:val="hybridMultilevel"/>
    <w:tmpl w:val="EE3AB3EA"/>
    <w:lvl w:ilvl="0" w:tplc="0410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17" w15:restartNumberingAfterBreak="0">
    <w:nsid w:val="5F7C5878"/>
    <w:multiLevelType w:val="hybridMultilevel"/>
    <w:tmpl w:val="99446D16"/>
    <w:lvl w:ilvl="0" w:tplc="E4F2C060">
      <w:start w:val="1"/>
      <w:numFmt w:val="bullet"/>
      <w:lvlText w:val="-"/>
      <w:lvlJc w:val="left"/>
      <w:pPr>
        <w:ind w:left="720" w:hanging="360"/>
      </w:pPr>
      <w:rPr>
        <w:rFonts w:ascii="&quot;Abadi&quot;,sans-serif" w:hAnsi="&quot;Abadi&quot;,sans-serif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B2740E"/>
    <w:multiLevelType w:val="hybridMultilevel"/>
    <w:tmpl w:val="314A4082"/>
    <w:lvl w:ilvl="0" w:tplc="0734C496">
      <w:numFmt w:val="bullet"/>
      <w:lvlText w:val="•"/>
      <w:lvlJc w:val="left"/>
      <w:pPr>
        <w:ind w:left="407" w:hanging="336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it-IT" w:eastAsia="it-IT" w:bidi="it-IT"/>
      </w:rPr>
    </w:lvl>
    <w:lvl w:ilvl="1" w:tplc="654ED934">
      <w:numFmt w:val="bullet"/>
      <w:lvlText w:val="•"/>
      <w:lvlJc w:val="left"/>
      <w:pPr>
        <w:ind w:left="746" w:hanging="336"/>
      </w:pPr>
      <w:rPr>
        <w:rFonts w:hint="default"/>
        <w:lang w:val="it-IT" w:eastAsia="it-IT" w:bidi="it-IT"/>
      </w:rPr>
    </w:lvl>
    <w:lvl w:ilvl="2" w:tplc="34C616BE">
      <w:numFmt w:val="bullet"/>
      <w:lvlText w:val="•"/>
      <w:lvlJc w:val="left"/>
      <w:pPr>
        <w:ind w:left="1092" w:hanging="336"/>
      </w:pPr>
      <w:rPr>
        <w:rFonts w:hint="default"/>
        <w:lang w:val="it-IT" w:eastAsia="it-IT" w:bidi="it-IT"/>
      </w:rPr>
    </w:lvl>
    <w:lvl w:ilvl="3" w:tplc="DECCF384">
      <w:numFmt w:val="bullet"/>
      <w:lvlText w:val="•"/>
      <w:lvlJc w:val="left"/>
      <w:pPr>
        <w:ind w:left="1438" w:hanging="336"/>
      </w:pPr>
      <w:rPr>
        <w:rFonts w:hint="default"/>
        <w:lang w:val="it-IT" w:eastAsia="it-IT" w:bidi="it-IT"/>
      </w:rPr>
    </w:lvl>
    <w:lvl w:ilvl="4" w:tplc="D3CE082E">
      <w:numFmt w:val="bullet"/>
      <w:lvlText w:val="•"/>
      <w:lvlJc w:val="left"/>
      <w:pPr>
        <w:ind w:left="1784" w:hanging="336"/>
      </w:pPr>
      <w:rPr>
        <w:rFonts w:hint="default"/>
        <w:lang w:val="it-IT" w:eastAsia="it-IT" w:bidi="it-IT"/>
      </w:rPr>
    </w:lvl>
    <w:lvl w:ilvl="5" w:tplc="16E232A8">
      <w:numFmt w:val="bullet"/>
      <w:lvlText w:val="•"/>
      <w:lvlJc w:val="left"/>
      <w:pPr>
        <w:ind w:left="2130" w:hanging="336"/>
      </w:pPr>
      <w:rPr>
        <w:rFonts w:hint="default"/>
        <w:lang w:val="it-IT" w:eastAsia="it-IT" w:bidi="it-IT"/>
      </w:rPr>
    </w:lvl>
    <w:lvl w:ilvl="6" w:tplc="C0F89FB4">
      <w:numFmt w:val="bullet"/>
      <w:lvlText w:val="•"/>
      <w:lvlJc w:val="left"/>
      <w:pPr>
        <w:ind w:left="2476" w:hanging="336"/>
      </w:pPr>
      <w:rPr>
        <w:rFonts w:hint="default"/>
        <w:lang w:val="it-IT" w:eastAsia="it-IT" w:bidi="it-IT"/>
      </w:rPr>
    </w:lvl>
    <w:lvl w:ilvl="7" w:tplc="5D2A9694">
      <w:numFmt w:val="bullet"/>
      <w:lvlText w:val="•"/>
      <w:lvlJc w:val="left"/>
      <w:pPr>
        <w:ind w:left="2822" w:hanging="336"/>
      </w:pPr>
      <w:rPr>
        <w:rFonts w:hint="default"/>
        <w:lang w:val="it-IT" w:eastAsia="it-IT" w:bidi="it-IT"/>
      </w:rPr>
    </w:lvl>
    <w:lvl w:ilvl="8" w:tplc="577C9886">
      <w:numFmt w:val="bullet"/>
      <w:lvlText w:val="•"/>
      <w:lvlJc w:val="left"/>
      <w:pPr>
        <w:ind w:left="3168" w:hanging="336"/>
      </w:pPr>
      <w:rPr>
        <w:rFonts w:hint="default"/>
        <w:lang w:val="it-IT" w:eastAsia="it-IT" w:bidi="it-IT"/>
      </w:rPr>
    </w:lvl>
  </w:abstractNum>
  <w:abstractNum w:abstractNumId="19" w15:restartNumberingAfterBreak="0">
    <w:nsid w:val="611F2413"/>
    <w:multiLevelType w:val="hybridMultilevel"/>
    <w:tmpl w:val="2DC89C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8313AC"/>
    <w:multiLevelType w:val="hybridMultilevel"/>
    <w:tmpl w:val="184EC60C"/>
    <w:lvl w:ilvl="0" w:tplc="90A0D7C2">
      <w:start w:val="1"/>
      <w:numFmt w:val="bullet"/>
      <w:lvlText w:val="-"/>
      <w:lvlJc w:val="left"/>
      <w:pPr>
        <w:ind w:left="720" w:hanging="360"/>
      </w:pPr>
      <w:rPr>
        <w:rFonts w:ascii="Abadi" w:hAnsi="Aba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D01B62"/>
    <w:multiLevelType w:val="multilevel"/>
    <w:tmpl w:val="6E4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76235DCF"/>
    <w:multiLevelType w:val="multilevel"/>
    <w:tmpl w:val="0B447CB6"/>
    <w:lvl w:ilvl="0">
      <w:start w:val="8"/>
      <w:numFmt w:val="decimal"/>
      <w:lvlText w:val="%1"/>
      <w:lvlJc w:val="left"/>
      <w:pPr>
        <w:ind w:left="1686" w:hanging="1467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1686" w:hanging="1467"/>
      </w:pPr>
      <w:rPr>
        <w:rFonts w:hint="default"/>
        <w:lang w:val="it-IT" w:eastAsia="en-US" w:bidi="ar-SA"/>
      </w:rPr>
    </w:lvl>
    <w:lvl w:ilvl="2">
      <w:start w:val="14"/>
      <w:numFmt w:val="decimal"/>
      <w:lvlText w:val="%1.%2.%3"/>
      <w:lvlJc w:val="left"/>
      <w:pPr>
        <w:ind w:left="1686" w:hanging="1467"/>
      </w:pPr>
      <w:rPr>
        <w:rFonts w:hint="default"/>
        <w:lang w:val="it-IT" w:eastAsia="en-US" w:bidi="ar-SA"/>
      </w:rPr>
    </w:lvl>
    <w:lvl w:ilvl="3">
      <w:start w:val="3"/>
      <w:numFmt w:val="decimal"/>
      <w:lvlText w:val="%1.%2.%3.%4"/>
      <w:lvlJc w:val="left"/>
      <w:pPr>
        <w:ind w:left="1686" w:hanging="1467"/>
      </w:pPr>
      <w:rPr>
        <w:rFonts w:hint="default"/>
        <w:lang w:val="it-IT" w:eastAsia="en-US" w:bidi="ar-SA"/>
      </w:rPr>
    </w:lvl>
    <w:lvl w:ilvl="4">
      <w:start w:val="1"/>
      <w:numFmt w:val="decimal"/>
      <w:lvlText w:val="%1.%2.%3.%4.%5"/>
      <w:lvlJc w:val="left"/>
      <w:pPr>
        <w:ind w:left="1686" w:hanging="1467"/>
      </w:pPr>
      <w:rPr>
        <w:rFonts w:hint="default"/>
        <w:lang w:val="it-IT" w:eastAsia="en-US" w:bidi="ar-SA"/>
      </w:rPr>
    </w:lvl>
    <w:lvl w:ilvl="5">
      <w:start w:val="9"/>
      <w:numFmt w:val="decimal"/>
      <w:lvlText w:val="%1.%2.%3.%4.%5.%6"/>
      <w:lvlJc w:val="left"/>
      <w:pPr>
        <w:ind w:left="1686" w:hanging="1467"/>
      </w:pPr>
      <w:rPr>
        <w:rFonts w:hint="default"/>
        <w:lang w:val="it-IT" w:eastAsia="en-US" w:bidi="ar-SA"/>
      </w:rPr>
    </w:lvl>
    <w:lvl w:ilvl="6">
      <w:start w:val="1"/>
      <w:numFmt w:val="decimal"/>
      <w:lvlText w:val="%1.%2.%3.%4.%5.%6.%7."/>
      <w:lvlJc w:val="left"/>
      <w:pPr>
        <w:ind w:left="1686" w:hanging="1467"/>
      </w:pPr>
      <w:rPr>
        <w:rFonts w:ascii="Arial" w:eastAsia="Arial" w:hAnsi="Arial" w:cs="Arial" w:hint="default"/>
        <w:i/>
        <w:iCs/>
        <w:spacing w:val="-1"/>
        <w:w w:val="100"/>
        <w:sz w:val="22"/>
        <w:szCs w:val="22"/>
        <w:lang w:val="it-IT" w:eastAsia="en-US" w:bidi="ar-SA"/>
      </w:rPr>
    </w:lvl>
    <w:lvl w:ilvl="7">
      <w:numFmt w:val="bullet"/>
      <w:lvlText w:val="•"/>
      <w:lvlJc w:val="left"/>
      <w:pPr>
        <w:ind w:left="8120" w:hanging="1467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40" w:hanging="1467"/>
      </w:pPr>
      <w:rPr>
        <w:rFonts w:hint="default"/>
        <w:lang w:val="it-IT" w:eastAsia="en-US" w:bidi="ar-SA"/>
      </w:rPr>
    </w:lvl>
  </w:abstractNum>
  <w:abstractNum w:abstractNumId="23" w15:restartNumberingAfterBreak="0">
    <w:nsid w:val="7BD445C4"/>
    <w:multiLevelType w:val="hybridMultilevel"/>
    <w:tmpl w:val="83420B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2533E"/>
    <w:multiLevelType w:val="hybridMultilevel"/>
    <w:tmpl w:val="62EA4A86"/>
    <w:lvl w:ilvl="0" w:tplc="0410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num w:numId="1" w16cid:durableId="859125879">
    <w:abstractNumId w:val="13"/>
  </w:num>
  <w:num w:numId="2" w16cid:durableId="1081368985">
    <w:abstractNumId w:val="17"/>
  </w:num>
  <w:num w:numId="3" w16cid:durableId="991255694">
    <w:abstractNumId w:val="22"/>
  </w:num>
  <w:num w:numId="4" w16cid:durableId="199707835">
    <w:abstractNumId w:val="6"/>
  </w:num>
  <w:num w:numId="5" w16cid:durableId="712465061">
    <w:abstractNumId w:val="20"/>
  </w:num>
  <w:num w:numId="6" w16cid:durableId="343676447">
    <w:abstractNumId w:val="15"/>
  </w:num>
  <w:num w:numId="7" w16cid:durableId="426273733">
    <w:abstractNumId w:val="0"/>
  </w:num>
  <w:num w:numId="8" w16cid:durableId="863593801">
    <w:abstractNumId w:val="14"/>
  </w:num>
  <w:num w:numId="9" w16cid:durableId="1970818286">
    <w:abstractNumId w:val="7"/>
  </w:num>
  <w:num w:numId="10" w16cid:durableId="452409564">
    <w:abstractNumId w:val="12"/>
  </w:num>
  <w:num w:numId="11" w16cid:durableId="695159364">
    <w:abstractNumId w:val="19"/>
  </w:num>
  <w:num w:numId="12" w16cid:durableId="983004031">
    <w:abstractNumId w:val="10"/>
  </w:num>
  <w:num w:numId="13" w16cid:durableId="279802118">
    <w:abstractNumId w:val="1"/>
  </w:num>
  <w:num w:numId="14" w16cid:durableId="750658149">
    <w:abstractNumId w:val="4"/>
  </w:num>
  <w:num w:numId="15" w16cid:durableId="578831400">
    <w:abstractNumId w:val="23"/>
  </w:num>
  <w:num w:numId="16" w16cid:durableId="195698496">
    <w:abstractNumId w:val="9"/>
  </w:num>
  <w:num w:numId="17" w16cid:durableId="1474710826">
    <w:abstractNumId w:val="8"/>
  </w:num>
  <w:num w:numId="18" w16cid:durableId="366106396">
    <w:abstractNumId w:val="11"/>
  </w:num>
  <w:num w:numId="19" w16cid:durableId="1789617836">
    <w:abstractNumId w:val="18"/>
  </w:num>
  <w:num w:numId="20" w16cid:durableId="2070492864">
    <w:abstractNumId w:val="5"/>
  </w:num>
  <w:num w:numId="21" w16cid:durableId="1850631352">
    <w:abstractNumId w:val="21"/>
  </w:num>
  <w:num w:numId="22" w16cid:durableId="1707287799">
    <w:abstractNumId w:val="16"/>
  </w:num>
  <w:num w:numId="23" w16cid:durableId="244341243">
    <w:abstractNumId w:val="24"/>
  </w:num>
  <w:num w:numId="24" w16cid:durableId="1998193074">
    <w:abstractNumId w:val="2"/>
  </w:num>
  <w:num w:numId="25" w16cid:durableId="94831727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IGNAMI Francesca (AGRI)">
    <w15:presenceInfo w15:providerId="AD" w15:userId="S-1-5-21-1606980848-2025429265-839522115-13163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04FA7"/>
    <w:rsid w:val="00005C79"/>
    <w:rsid w:val="00031927"/>
    <w:rsid w:val="00071955"/>
    <w:rsid w:val="000A6F20"/>
    <w:rsid w:val="000C7076"/>
    <w:rsid w:val="000C7F3B"/>
    <w:rsid w:val="00135F93"/>
    <w:rsid w:val="00175C1F"/>
    <w:rsid w:val="001D2B4F"/>
    <w:rsid w:val="001E4AF8"/>
    <w:rsid w:val="001E58D2"/>
    <w:rsid w:val="001F4139"/>
    <w:rsid w:val="00203A8D"/>
    <w:rsid w:val="00214075"/>
    <w:rsid w:val="0022206B"/>
    <w:rsid w:val="002360F0"/>
    <w:rsid w:val="002607D5"/>
    <w:rsid w:val="002961AC"/>
    <w:rsid w:val="002A05D8"/>
    <w:rsid w:val="002A7706"/>
    <w:rsid w:val="002B3F92"/>
    <w:rsid w:val="002E716E"/>
    <w:rsid w:val="0037211B"/>
    <w:rsid w:val="0037739A"/>
    <w:rsid w:val="0038642E"/>
    <w:rsid w:val="003C203A"/>
    <w:rsid w:val="003D367C"/>
    <w:rsid w:val="003E48C3"/>
    <w:rsid w:val="0043044D"/>
    <w:rsid w:val="00442348"/>
    <w:rsid w:val="0044374B"/>
    <w:rsid w:val="00443DAE"/>
    <w:rsid w:val="004528F8"/>
    <w:rsid w:val="00467D66"/>
    <w:rsid w:val="0048047C"/>
    <w:rsid w:val="004C311A"/>
    <w:rsid w:val="0051196C"/>
    <w:rsid w:val="00584C2F"/>
    <w:rsid w:val="005B7683"/>
    <w:rsid w:val="005E71F2"/>
    <w:rsid w:val="005E7ADB"/>
    <w:rsid w:val="00616E2F"/>
    <w:rsid w:val="00642A60"/>
    <w:rsid w:val="00662423"/>
    <w:rsid w:val="006631F3"/>
    <w:rsid w:val="006E14AC"/>
    <w:rsid w:val="0073695C"/>
    <w:rsid w:val="00746558"/>
    <w:rsid w:val="00746E45"/>
    <w:rsid w:val="00753D7F"/>
    <w:rsid w:val="00787342"/>
    <w:rsid w:val="007B402D"/>
    <w:rsid w:val="007C7156"/>
    <w:rsid w:val="00801528"/>
    <w:rsid w:val="00804FA7"/>
    <w:rsid w:val="008051AC"/>
    <w:rsid w:val="00840860"/>
    <w:rsid w:val="00846347"/>
    <w:rsid w:val="008657F4"/>
    <w:rsid w:val="0089057F"/>
    <w:rsid w:val="008B5AFB"/>
    <w:rsid w:val="008D6841"/>
    <w:rsid w:val="008E56A4"/>
    <w:rsid w:val="008F4E80"/>
    <w:rsid w:val="0091747B"/>
    <w:rsid w:val="00953219"/>
    <w:rsid w:val="00957045"/>
    <w:rsid w:val="00977A39"/>
    <w:rsid w:val="009A17B6"/>
    <w:rsid w:val="00A037E6"/>
    <w:rsid w:val="00A75321"/>
    <w:rsid w:val="00AD55E7"/>
    <w:rsid w:val="00AD6A7D"/>
    <w:rsid w:val="00AE78ED"/>
    <w:rsid w:val="00AF4A57"/>
    <w:rsid w:val="00B00C19"/>
    <w:rsid w:val="00B031DA"/>
    <w:rsid w:val="00B547C7"/>
    <w:rsid w:val="00B61ED7"/>
    <w:rsid w:val="00B93745"/>
    <w:rsid w:val="00BB46C6"/>
    <w:rsid w:val="00C0101E"/>
    <w:rsid w:val="00C43A10"/>
    <w:rsid w:val="00C7555F"/>
    <w:rsid w:val="00C760D9"/>
    <w:rsid w:val="00C90482"/>
    <w:rsid w:val="00CB6EDC"/>
    <w:rsid w:val="00CE66E2"/>
    <w:rsid w:val="00D01244"/>
    <w:rsid w:val="00D0385A"/>
    <w:rsid w:val="00D1447B"/>
    <w:rsid w:val="00D41800"/>
    <w:rsid w:val="00DC16C8"/>
    <w:rsid w:val="00DF0852"/>
    <w:rsid w:val="00E05C2C"/>
    <w:rsid w:val="00E47431"/>
    <w:rsid w:val="00E647A9"/>
    <w:rsid w:val="00E64995"/>
    <w:rsid w:val="00E74BDB"/>
    <w:rsid w:val="00F23E30"/>
    <w:rsid w:val="00F264A8"/>
    <w:rsid w:val="00F52697"/>
    <w:rsid w:val="00F60963"/>
    <w:rsid w:val="00F628C1"/>
    <w:rsid w:val="00F77DF6"/>
    <w:rsid w:val="00FD27D4"/>
    <w:rsid w:val="00FE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6E381"/>
  <w15:chartTrackingRefBased/>
  <w15:docId w15:val="{07C6958B-1AC6-4B02-AE69-99217EE0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6E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04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0C1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7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7706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2A77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A770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1">
    <w:name w:val="Text 1"/>
    <w:basedOn w:val="Normale"/>
    <w:rsid w:val="002A7706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table" w:customStyle="1" w:styleId="TableNormal1">
    <w:name w:val="Table Normal1"/>
    <w:uiPriority w:val="2"/>
    <w:semiHidden/>
    <w:unhideWhenUsed/>
    <w:qFormat/>
    <w:rsid w:val="00F23E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23E3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it-IT" w:bidi="it-IT"/>
    </w:rPr>
  </w:style>
  <w:style w:type="table" w:styleId="Grigliatabella">
    <w:name w:val="Table Grid"/>
    <w:basedOn w:val="Tabellanormale"/>
    <w:uiPriority w:val="39"/>
    <w:rsid w:val="00CB6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937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9374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9374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37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37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6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6/09/relationships/commentsIds" Target="commentsIds.xml"/><Relationship Id="rId5" Type="http://schemas.openxmlformats.org/officeDocument/2006/relationships/styles" Target="styles.xml"/><Relationship Id="rId10" Type="http://schemas.microsoft.com/office/2011/relationships/commentsExtended" Target="commentsExtended.xml"/><Relationship Id="rId4" Type="http://schemas.openxmlformats.org/officeDocument/2006/relationships/numbering" Target="numbering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B5FABF15D55F4448355840C1EB32076" ma:contentTypeVersion="10" ma:contentTypeDescription="Creare un nuovo documento." ma:contentTypeScope="" ma:versionID="48e86191163d442d1ffbaf0570d9a28d">
  <xsd:schema xmlns:xsd="http://www.w3.org/2001/XMLSchema" xmlns:xs="http://www.w3.org/2001/XMLSchema" xmlns:p="http://schemas.microsoft.com/office/2006/metadata/properties" xmlns:ns2="a16531ac-38ed-429d-b9ed-0265025defa8" targetNamespace="http://schemas.microsoft.com/office/2006/metadata/properties" ma:root="true" ma:fieldsID="ca952a4ab6fab7394f7a5c18f8d66df2" ns2:_="">
    <xsd:import namespace="a16531ac-38ed-429d-b9ed-0265025def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531ac-38ed-429d-b9ed-0265025def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 immagine" ma:readOnly="false" ma:fieldId="{5cf76f15-5ced-4ddc-b409-7134ff3c332f}" ma:taxonomyMulti="true" ma:sspId="34f371fd-2ecf-4312-bad1-fbb43e1cd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34FC2-8B9A-4FA6-9BA0-A5709A1AF1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65BE63-D257-4F75-B492-1EB33D02E5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531ac-38ed-429d-b9ed-0265025def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372D46-6860-4A1A-99CF-C23F873B9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3217</Words>
  <Characters>18337</Characters>
  <Application>Microsoft Office Word</Application>
  <DocSecurity>0</DocSecurity>
  <Lines>152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Gloria Sainaghi</dc:creator>
  <cp:keywords/>
  <dc:description/>
  <cp:lastModifiedBy>Antonella Frongia</cp:lastModifiedBy>
  <cp:revision>3</cp:revision>
  <dcterms:created xsi:type="dcterms:W3CDTF">2022-09-19T09:52:00Z</dcterms:created>
  <dcterms:modified xsi:type="dcterms:W3CDTF">2022-09-19T09:53:00Z</dcterms:modified>
</cp:coreProperties>
</file>